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8C954" w14:textId="167347F2" w:rsidR="002E3715" w:rsidRPr="0010408D" w:rsidRDefault="002E3715" w:rsidP="00AD4A44">
      <w:pPr>
        <w:pStyle w:val="Sansinterligne"/>
        <w:shd w:val="clear" w:color="auto" w:fill="D9D9D9" w:themeFill="background1" w:themeFillShade="D9"/>
        <w:tabs>
          <w:tab w:val="right" w:leader="underscore" w:pos="9360"/>
        </w:tabs>
        <w:spacing w:after="0" w:line="240" w:lineRule="auto"/>
        <w:rPr>
          <w:rFonts w:asciiTheme="minorHAnsi" w:hAnsiTheme="minorHAnsi" w:cstheme="minorHAnsi"/>
          <w:b/>
          <w:sz w:val="22"/>
          <w:szCs w:val="24"/>
        </w:rPr>
      </w:pPr>
      <w:r w:rsidRPr="0010408D">
        <w:rPr>
          <w:rFonts w:asciiTheme="minorHAnsi" w:hAnsiTheme="minorHAnsi" w:cstheme="minorHAnsi"/>
          <w:b/>
          <w:sz w:val="22"/>
          <w:szCs w:val="24"/>
        </w:rPr>
        <w:t xml:space="preserve">Peripheral Arterial Disease </w:t>
      </w:r>
      <w:r w:rsidR="009C3C84" w:rsidRPr="0010408D">
        <w:rPr>
          <w:rFonts w:asciiTheme="minorHAnsi" w:hAnsiTheme="minorHAnsi" w:cstheme="minorHAnsi"/>
          <w:b/>
          <w:sz w:val="22"/>
          <w:szCs w:val="24"/>
        </w:rPr>
        <w:t>(PAD)</w:t>
      </w:r>
      <w:r w:rsidRPr="0010408D">
        <w:rPr>
          <w:rFonts w:asciiTheme="minorHAnsi" w:hAnsiTheme="minorHAnsi" w:cstheme="minorHAnsi"/>
          <w:b/>
          <w:sz w:val="22"/>
          <w:szCs w:val="24"/>
        </w:rPr>
        <w:t xml:space="preserve"> project </w:t>
      </w:r>
      <w:r w:rsidR="00311AFD" w:rsidRPr="0010408D">
        <w:rPr>
          <w:rFonts w:asciiTheme="minorHAnsi" w:hAnsiTheme="minorHAnsi" w:cstheme="minorHAnsi"/>
          <w:b/>
          <w:sz w:val="22"/>
          <w:szCs w:val="24"/>
        </w:rPr>
        <w:t>registration</w:t>
      </w:r>
      <w:r w:rsidRPr="0010408D">
        <w:rPr>
          <w:rFonts w:asciiTheme="minorHAnsi" w:hAnsiTheme="minorHAnsi" w:cstheme="minorHAnsi"/>
          <w:b/>
          <w:sz w:val="22"/>
          <w:szCs w:val="24"/>
        </w:rPr>
        <w:t xml:space="preserve"> form</w:t>
      </w:r>
    </w:p>
    <w:p w14:paraId="1A6DFD2A" w14:textId="77777777" w:rsidR="002E3715" w:rsidRPr="0010408D" w:rsidRDefault="002E3715" w:rsidP="00AD4A44">
      <w:pPr>
        <w:pStyle w:val="Sansinterligne"/>
        <w:shd w:val="clear" w:color="auto" w:fill="D9D9D9" w:themeFill="background1" w:themeFillShade="D9"/>
        <w:tabs>
          <w:tab w:val="right" w:leader="underscore" w:pos="9360"/>
        </w:tabs>
        <w:spacing w:after="0" w:line="240" w:lineRule="auto"/>
        <w:rPr>
          <w:rFonts w:asciiTheme="minorHAnsi" w:hAnsiTheme="minorHAnsi" w:cstheme="minorHAnsi"/>
          <w:b/>
          <w:sz w:val="22"/>
          <w:szCs w:val="24"/>
        </w:rPr>
      </w:pPr>
    </w:p>
    <w:p w14:paraId="6BAD0543" w14:textId="6536EB0C" w:rsidR="00382C63" w:rsidRPr="0010408D" w:rsidRDefault="00992F85" w:rsidP="00455D7B">
      <w:pPr>
        <w:pStyle w:val="Sansinterligne"/>
        <w:shd w:val="clear" w:color="auto" w:fill="D9D9D9" w:themeFill="background1" w:themeFillShade="D9"/>
        <w:tabs>
          <w:tab w:val="right" w:leader="underscore" w:pos="9360"/>
        </w:tabs>
        <w:spacing w:after="0" w:line="240" w:lineRule="auto"/>
        <w:jc w:val="both"/>
        <w:rPr>
          <w:rFonts w:asciiTheme="minorHAnsi" w:hAnsiTheme="minorHAnsi" w:cstheme="minorHAnsi"/>
          <w:bCs/>
          <w:sz w:val="22"/>
          <w:szCs w:val="24"/>
        </w:rPr>
      </w:pPr>
      <w:r w:rsidRPr="0010408D">
        <w:rPr>
          <w:rFonts w:asciiTheme="minorHAnsi" w:hAnsiTheme="minorHAnsi" w:cstheme="minorHAnsi"/>
          <w:b/>
          <w:sz w:val="22"/>
          <w:szCs w:val="24"/>
        </w:rPr>
        <w:t>Title of research project:</w:t>
      </w:r>
      <w:r w:rsidR="00455D7B" w:rsidRPr="0010408D">
        <w:rPr>
          <w:rFonts w:asciiTheme="minorHAnsi" w:hAnsiTheme="minorHAnsi" w:cstheme="minorHAnsi"/>
          <w:b/>
          <w:sz w:val="22"/>
          <w:szCs w:val="24"/>
        </w:rPr>
        <w:t xml:space="preserve"> </w:t>
      </w:r>
      <w:r w:rsidR="00B1207C">
        <w:rPr>
          <w:rFonts w:asciiTheme="minorHAnsi" w:hAnsiTheme="minorHAnsi" w:cstheme="minorHAnsi"/>
          <w:bCs/>
          <w:sz w:val="22"/>
          <w:szCs w:val="24"/>
        </w:rPr>
        <w:t>C</w:t>
      </w:r>
      <w:r w:rsidR="00B10493">
        <w:rPr>
          <w:rFonts w:asciiTheme="minorHAnsi" w:hAnsiTheme="minorHAnsi" w:cstheme="minorHAnsi"/>
          <w:bCs/>
          <w:sz w:val="22"/>
          <w:szCs w:val="24"/>
        </w:rPr>
        <w:t xml:space="preserve">omparison of </w:t>
      </w:r>
      <w:r w:rsidR="00B10493" w:rsidRPr="00B10493">
        <w:rPr>
          <w:rFonts w:asciiTheme="minorHAnsi" w:hAnsiTheme="minorHAnsi" w:cstheme="minorHAnsi"/>
          <w:b/>
          <w:bCs/>
          <w:sz w:val="22"/>
          <w:szCs w:val="24"/>
        </w:rPr>
        <w:t>S</w:t>
      </w:r>
      <w:r w:rsidR="00B10493">
        <w:rPr>
          <w:rFonts w:asciiTheme="minorHAnsi" w:hAnsiTheme="minorHAnsi" w:cstheme="minorHAnsi"/>
          <w:bCs/>
          <w:sz w:val="22"/>
          <w:szCs w:val="24"/>
        </w:rPr>
        <w:t>tent-</w:t>
      </w:r>
      <w:proofErr w:type="spellStart"/>
      <w:r w:rsidR="00B10493" w:rsidRPr="00B10493">
        <w:rPr>
          <w:rFonts w:asciiTheme="minorHAnsi" w:hAnsiTheme="minorHAnsi" w:cstheme="minorHAnsi"/>
          <w:b/>
          <w:bCs/>
          <w:sz w:val="22"/>
          <w:szCs w:val="24"/>
        </w:rPr>
        <w:t>A</w:t>
      </w:r>
      <w:r w:rsidR="00B10493">
        <w:rPr>
          <w:rFonts w:asciiTheme="minorHAnsi" w:hAnsiTheme="minorHAnsi" w:cstheme="minorHAnsi"/>
          <w:b/>
          <w:bCs/>
          <w:sz w:val="22"/>
          <w:szCs w:val="24"/>
        </w:rPr>
        <w:t>V</w:t>
      </w:r>
      <w:r w:rsidR="00B1207C" w:rsidRPr="00B1207C">
        <w:rPr>
          <w:rFonts w:asciiTheme="minorHAnsi" w:hAnsiTheme="minorHAnsi" w:cstheme="minorHAnsi"/>
          <w:bCs/>
          <w:sz w:val="22"/>
          <w:szCs w:val="24"/>
        </w:rPr>
        <w:t>oiding</w:t>
      </w:r>
      <w:proofErr w:type="spellEnd"/>
      <w:r w:rsidR="00B1207C" w:rsidRPr="00B1207C">
        <w:rPr>
          <w:rFonts w:asciiTheme="minorHAnsi" w:hAnsiTheme="minorHAnsi" w:cstheme="minorHAnsi"/>
          <w:bCs/>
          <w:sz w:val="22"/>
          <w:szCs w:val="24"/>
        </w:rPr>
        <w:t xml:space="preserve"> with a stent-</w:t>
      </w:r>
      <w:proofErr w:type="spellStart"/>
      <w:r w:rsidR="00B1207C" w:rsidRPr="00B1207C">
        <w:rPr>
          <w:rFonts w:asciiTheme="minorHAnsi" w:hAnsiTheme="minorHAnsi" w:cstheme="minorHAnsi"/>
          <w:bCs/>
          <w:sz w:val="22"/>
          <w:szCs w:val="24"/>
        </w:rPr>
        <w:t>pr</w:t>
      </w:r>
      <w:r w:rsidR="00B10493" w:rsidRPr="00B10493">
        <w:rPr>
          <w:rFonts w:asciiTheme="minorHAnsi" w:hAnsiTheme="minorHAnsi" w:cstheme="minorHAnsi"/>
          <w:b/>
          <w:bCs/>
          <w:sz w:val="22"/>
          <w:szCs w:val="24"/>
        </w:rPr>
        <w:t>E</w:t>
      </w:r>
      <w:r w:rsidR="00B10493">
        <w:rPr>
          <w:rFonts w:asciiTheme="minorHAnsi" w:hAnsiTheme="minorHAnsi" w:cstheme="minorHAnsi"/>
          <w:bCs/>
          <w:sz w:val="22"/>
          <w:szCs w:val="24"/>
        </w:rPr>
        <w:t>ferred</w:t>
      </w:r>
      <w:proofErr w:type="spellEnd"/>
      <w:r w:rsidR="00B10493">
        <w:rPr>
          <w:rFonts w:asciiTheme="minorHAnsi" w:hAnsiTheme="minorHAnsi" w:cstheme="minorHAnsi"/>
          <w:bCs/>
          <w:sz w:val="22"/>
          <w:szCs w:val="24"/>
        </w:rPr>
        <w:t xml:space="preserve"> strategy in </w:t>
      </w:r>
      <w:r w:rsidR="00B10493" w:rsidRPr="00B10493">
        <w:rPr>
          <w:rFonts w:asciiTheme="minorHAnsi" w:hAnsiTheme="minorHAnsi" w:cstheme="minorHAnsi"/>
          <w:b/>
          <w:bCs/>
          <w:sz w:val="22"/>
          <w:szCs w:val="24"/>
        </w:rPr>
        <w:t>C</w:t>
      </w:r>
      <w:r w:rsidR="00B10493">
        <w:rPr>
          <w:rFonts w:asciiTheme="minorHAnsi" w:hAnsiTheme="minorHAnsi" w:cstheme="minorHAnsi"/>
          <w:bCs/>
          <w:sz w:val="22"/>
          <w:szCs w:val="24"/>
        </w:rPr>
        <w:t xml:space="preserve">ommon </w:t>
      </w:r>
      <w:r w:rsidR="00B10493" w:rsidRPr="00B10493">
        <w:rPr>
          <w:rFonts w:asciiTheme="minorHAnsi" w:hAnsiTheme="minorHAnsi" w:cstheme="minorHAnsi"/>
          <w:b/>
          <w:bCs/>
          <w:sz w:val="22"/>
          <w:szCs w:val="24"/>
        </w:rPr>
        <w:t>F</w:t>
      </w:r>
      <w:r w:rsidR="00B10493">
        <w:rPr>
          <w:rFonts w:asciiTheme="minorHAnsi" w:hAnsiTheme="minorHAnsi" w:cstheme="minorHAnsi"/>
          <w:bCs/>
          <w:sz w:val="22"/>
          <w:szCs w:val="24"/>
        </w:rPr>
        <w:t xml:space="preserve">emoral </w:t>
      </w:r>
      <w:r w:rsidR="00B10493" w:rsidRPr="00B10493">
        <w:rPr>
          <w:rFonts w:asciiTheme="minorHAnsi" w:hAnsiTheme="minorHAnsi" w:cstheme="minorHAnsi"/>
          <w:b/>
          <w:bCs/>
          <w:sz w:val="22"/>
          <w:szCs w:val="24"/>
        </w:rPr>
        <w:t>A</w:t>
      </w:r>
      <w:r w:rsidR="00B1207C" w:rsidRPr="00B1207C">
        <w:rPr>
          <w:rFonts w:asciiTheme="minorHAnsi" w:hAnsiTheme="minorHAnsi" w:cstheme="minorHAnsi"/>
          <w:bCs/>
          <w:sz w:val="22"/>
          <w:szCs w:val="24"/>
        </w:rPr>
        <w:t>rtery endovascular treatment after IVL preparation</w:t>
      </w:r>
    </w:p>
    <w:p w14:paraId="247CBD4F" w14:textId="6ACCBD03" w:rsidR="00FE3760" w:rsidRPr="0010408D" w:rsidRDefault="00FE3760" w:rsidP="00AD4A44">
      <w:pPr>
        <w:pStyle w:val="Sansinterligne"/>
        <w:shd w:val="clear" w:color="auto" w:fill="D9D9D9" w:themeFill="background1" w:themeFillShade="D9"/>
        <w:tabs>
          <w:tab w:val="right" w:leader="underscore" w:pos="9360"/>
        </w:tabs>
        <w:spacing w:after="0" w:line="240" w:lineRule="auto"/>
        <w:rPr>
          <w:rFonts w:asciiTheme="minorHAnsi" w:hAnsiTheme="minorHAnsi" w:cstheme="minorHAnsi"/>
          <w:b/>
          <w:sz w:val="22"/>
          <w:szCs w:val="24"/>
        </w:rPr>
      </w:pPr>
    </w:p>
    <w:p w14:paraId="4B7BFDCC" w14:textId="68093767" w:rsidR="00FE3760" w:rsidRPr="0010408D" w:rsidRDefault="00FE3760" w:rsidP="00AD4A44">
      <w:pPr>
        <w:pStyle w:val="Sansinterligne"/>
        <w:shd w:val="clear" w:color="auto" w:fill="D9D9D9" w:themeFill="background1" w:themeFillShade="D9"/>
        <w:tabs>
          <w:tab w:val="right" w:leader="underscore" w:pos="9360"/>
        </w:tabs>
        <w:spacing w:after="0" w:line="240" w:lineRule="auto"/>
        <w:rPr>
          <w:rFonts w:asciiTheme="minorHAnsi" w:hAnsiTheme="minorHAnsi" w:cstheme="minorHAnsi"/>
          <w:b/>
          <w:color w:val="595959" w:themeColor="text1" w:themeTint="A6"/>
          <w:sz w:val="22"/>
          <w:szCs w:val="24"/>
        </w:rPr>
      </w:pPr>
      <w:r w:rsidRPr="0010408D">
        <w:rPr>
          <w:rFonts w:asciiTheme="minorHAnsi" w:hAnsiTheme="minorHAnsi" w:cstheme="minorHAnsi"/>
          <w:b/>
          <w:sz w:val="22"/>
          <w:szCs w:val="24"/>
        </w:rPr>
        <w:t>Short title (acronym)</w:t>
      </w:r>
      <w:r w:rsidR="009C3C84" w:rsidRPr="0010408D">
        <w:rPr>
          <w:rFonts w:asciiTheme="minorHAnsi" w:hAnsiTheme="minorHAnsi" w:cstheme="minorHAnsi"/>
          <w:b/>
          <w:sz w:val="22"/>
          <w:szCs w:val="24"/>
        </w:rPr>
        <w:t xml:space="preserve"> – if applicable</w:t>
      </w:r>
      <w:r w:rsidRPr="0010408D">
        <w:rPr>
          <w:rFonts w:asciiTheme="minorHAnsi" w:hAnsiTheme="minorHAnsi" w:cstheme="minorHAnsi"/>
          <w:b/>
          <w:sz w:val="22"/>
          <w:szCs w:val="24"/>
        </w:rPr>
        <w:t>:</w:t>
      </w:r>
      <w:r w:rsidR="00B10493">
        <w:rPr>
          <w:rFonts w:asciiTheme="minorHAnsi" w:hAnsiTheme="minorHAnsi" w:cstheme="minorHAnsi"/>
          <w:b/>
          <w:sz w:val="22"/>
          <w:szCs w:val="24"/>
        </w:rPr>
        <w:t xml:space="preserve"> SAVE-CFA</w:t>
      </w:r>
      <w:r w:rsidR="00455D7B" w:rsidRPr="0010408D">
        <w:rPr>
          <w:rFonts w:asciiTheme="minorHAnsi" w:hAnsiTheme="minorHAnsi" w:cstheme="minorHAnsi"/>
          <w:b/>
          <w:sz w:val="22"/>
          <w:szCs w:val="24"/>
        </w:rPr>
        <w:t xml:space="preserve"> trial.</w:t>
      </w:r>
    </w:p>
    <w:p w14:paraId="67AFC5E3" w14:textId="77777777" w:rsidR="00382C63" w:rsidRPr="0010408D" w:rsidRDefault="002E3715" w:rsidP="00F83F26">
      <w:pPr>
        <w:pStyle w:val="Sansinterligne"/>
        <w:spacing w:after="0" w:line="240" w:lineRule="auto"/>
        <w:rPr>
          <w:rFonts w:asciiTheme="minorHAnsi" w:hAnsiTheme="minorHAnsi" w:cstheme="minorHAnsi"/>
          <w:b/>
          <w:color w:val="7F7F7F" w:themeColor="text1" w:themeTint="80"/>
          <w:sz w:val="24"/>
          <w:szCs w:val="24"/>
        </w:rPr>
      </w:pPr>
      <w:r w:rsidRPr="0010408D">
        <w:rPr>
          <w:rFonts w:asciiTheme="minorHAnsi" w:hAnsiTheme="minorHAnsi" w:cstheme="minorHAnsi"/>
          <w:noProof/>
          <w:color w:val="000000" w:themeColor="text1"/>
          <w:sz w:val="24"/>
          <w:szCs w:val="24"/>
          <w:lang w:val="fr-FR" w:eastAsia="fr-FR"/>
        </w:rPr>
        <mc:AlternateContent>
          <mc:Choice Requires="wps">
            <w:drawing>
              <wp:anchor distT="0" distB="0" distL="114300" distR="114300" simplePos="0" relativeHeight="251663360" behindDoc="0" locked="0" layoutInCell="1" allowOverlap="1" wp14:anchorId="063C00BA" wp14:editId="46F4A315">
                <wp:simplePos x="0" y="0"/>
                <wp:positionH relativeFrom="column">
                  <wp:posOffset>21590</wp:posOffset>
                </wp:positionH>
                <wp:positionV relativeFrom="paragraph">
                  <wp:posOffset>207010</wp:posOffset>
                </wp:positionV>
                <wp:extent cx="5859780" cy="0"/>
                <wp:effectExtent l="0" t="12700" r="20320" b="1270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9780" cy="0"/>
                        </a:xfrm>
                        <a:prstGeom prst="straightConnector1">
                          <a:avLst/>
                        </a:prstGeom>
                        <a:noFill/>
                        <a:ln w="38100">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F406A06" id="_x0000_t32" coordsize="21600,21600" o:spt="32" o:oned="t" path="m,l21600,21600e" filled="f">
                <v:path arrowok="t" fillok="f" o:connecttype="none"/>
                <o:lock v:ext="edit" shapetype="t"/>
              </v:shapetype>
              <v:shape id="AutoShape 7" o:spid="_x0000_s1026" type="#_x0000_t32" style="position:absolute;margin-left:1.7pt;margin-top:16.3pt;width:461.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" strokecolor="#a5a5a5 [3206]" strokeweight="3pt">
                <v:shadow color="#525252 [1606]" offset="1pt"/>
                <o:lock v:ext="edit" shapetype="f"/>
              </v:shape>
            </w:pict>
          </mc:Fallback>
        </mc:AlternateContent>
      </w:r>
    </w:p>
    <w:p w14:paraId="5D477AB1" w14:textId="77777777" w:rsidR="00992F85" w:rsidRPr="0010408D" w:rsidRDefault="00992F85" w:rsidP="00F83F26">
      <w:pPr>
        <w:pStyle w:val="Sansinterligne"/>
        <w:spacing w:after="0" w:line="240" w:lineRule="auto"/>
        <w:rPr>
          <w:rFonts w:asciiTheme="minorHAnsi" w:hAnsiTheme="minorHAnsi" w:cstheme="minorHAnsi"/>
          <w:sz w:val="24"/>
          <w:szCs w:val="24"/>
        </w:rPr>
      </w:pPr>
    </w:p>
    <w:p w14:paraId="1A3AC15A" w14:textId="4C2C5C0A" w:rsidR="00992F85" w:rsidRPr="0010408D" w:rsidRDefault="009C3C84" w:rsidP="00AD4A44">
      <w:pPr>
        <w:pStyle w:val="Sansinterligne"/>
        <w:shd w:val="clear" w:color="auto" w:fill="D9D9D9" w:themeFill="background1" w:themeFillShade="D9"/>
        <w:spacing w:after="0" w:line="240" w:lineRule="auto"/>
        <w:rPr>
          <w:rFonts w:asciiTheme="minorHAnsi" w:hAnsiTheme="minorHAnsi" w:cstheme="minorHAnsi"/>
          <w:b/>
          <w:sz w:val="22"/>
          <w:szCs w:val="24"/>
        </w:rPr>
      </w:pPr>
      <w:r w:rsidRPr="0010408D">
        <w:rPr>
          <w:rFonts w:asciiTheme="minorHAnsi" w:hAnsiTheme="minorHAnsi" w:cstheme="minorHAnsi"/>
          <w:b/>
          <w:sz w:val="22"/>
          <w:szCs w:val="24"/>
        </w:rPr>
        <w:t>Chief</w:t>
      </w:r>
      <w:r w:rsidR="00992F85" w:rsidRPr="0010408D">
        <w:rPr>
          <w:rFonts w:asciiTheme="minorHAnsi" w:hAnsiTheme="minorHAnsi" w:cstheme="minorHAnsi"/>
          <w:b/>
          <w:sz w:val="22"/>
          <w:szCs w:val="24"/>
        </w:rPr>
        <w:t xml:space="preserve"> Inves</w:t>
      </w:r>
      <w:r w:rsidR="006F7660" w:rsidRPr="0010408D">
        <w:rPr>
          <w:rFonts w:asciiTheme="minorHAnsi" w:hAnsiTheme="minorHAnsi" w:cstheme="minorHAnsi"/>
          <w:b/>
          <w:sz w:val="22"/>
          <w:szCs w:val="24"/>
        </w:rPr>
        <w:t>tigator responsible for project</w:t>
      </w:r>
    </w:p>
    <w:p w14:paraId="5B18667F" w14:textId="3AFA49AA" w:rsidR="00382C63" w:rsidRPr="0010408D" w:rsidRDefault="00992F85" w:rsidP="00F83F26">
      <w:pPr>
        <w:pStyle w:val="Sansinterligne"/>
        <w:tabs>
          <w:tab w:val="right" w:leader="underscore" w:pos="9360"/>
        </w:tabs>
        <w:spacing w:after="0" w:line="240" w:lineRule="auto"/>
        <w:rPr>
          <w:rFonts w:asciiTheme="minorHAnsi" w:hAnsiTheme="minorHAnsi" w:cstheme="minorHAnsi"/>
          <w:sz w:val="22"/>
          <w:szCs w:val="22"/>
        </w:rPr>
      </w:pPr>
      <w:r w:rsidRPr="0010408D">
        <w:rPr>
          <w:rFonts w:asciiTheme="minorHAnsi" w:hAnsiTheme="minorHAnsi" w:cstheme="minorHAnsi"/>
          <w:sz w:val="22"/>
          <w:szCs w:val="22"/>
        </w:rPr>
        <w:t>Name</w:t>
      </w:r>
      <w:r w:rsidR="00A32C7A" w:rsidRPr="0010408D">
        <w:rPr>
          <w:rFonts w:asciiTheme="minorHAnsi" w:hAnsiTheme="minorHAnsi" w:cstheme="minorHAnsi"/>
          <w:sz w:val="22"/>
          <w:szCs w:val="22"/>
        </w:rPr>
        <w:t>:</w:t>
      </w:r>
      <w:r w:rsidR="000E50AC" w:rsidRPr="0010408D">
        <w:rPr>
          <w:rFonts w:asciiTheme="minorHAnsi" w:hAnsiTheme="minorHAnsi" w:cstheme="minorHAnsi"/>
          <w:sz w:val="22"/>
          <w:szCs w:val="22"/>
        </w:rPr>
        <w:t xml:space="preserve"> </w:t>
      </w:r>
      <w:r w:rsidR="00AD645E">
        <w:rPr>
          <w:rFonts w:asciiTheme="minorHAnsi" w:hAnsiTheme="minorHAnsi" w:cstheme="minorHAnsi"/>
          <w:sz w:val="22"/>
          <w:szCs w:val="22"/>
        </w:rPr>
        <w:t>Bahaa NASR</w:t>
      </w:r>
    </w:p>
    <w:p w14:paraId="5220F6F1" w14:textId="77777777" w:rsidR="00F54B43" w:rsidRPr="0010408D" w:rsidRDefault="00F54B43" w:rsidP="00F83F26">
      <w:pPr>
        <w:pStyle w:val="Sansinterligne"/>
        <w:tabs>
          <w:tab w:val="right" w:leader="underscore" w:pos="9360"/>
        </w:tabs>
        <w:spacing w:after="0" w:line="240" w:lineRule="auto"/>
        <w:rPr>
          <w:rFonts w:asciiTheme="minorHAnsi" w:hAnsiTheme="minorHAnsi" w:cstheme="minorHAnsi"/>
          <w:sz w:val="22"/>
          <w:szCs w:val="22"/>
        </w:rPr>
      </w:pPr>
    </w:p>
    <w:p w14:paraId="55AE6F77" w14:textId="49C80513" w:rsidR="00382C63" w:rsidRPr="0010408D" w:rsidRDefault="00676CB2" w:rsidP="00F83F26">
      <w:pPr>
        <w:pStyle w:val="Sansinterligne"/>
        <w:tabs>
          <w:tab w:val="right" w:leader="underscore" w:pos="9360"/>
        </w:tabs>
        <w:spacing w:after="0" w:line="240" w:lineRule="auto"/>
        <w:rPr>
          <w:rFonts w:asciiTheme="minorHAnsi" w:hAnsiTheme="minorHAnsi" w:cstheme="minorHAnsi"/>
          <w:sz w:val="22"/>
          <w:szCs w:val="22"/>
          <w:lang w:val="de-DE"/>
        </w:rPr>
      </w:pPr>
      <w:r w:rsidRPr="0010408D">
        <w:rPr>
          <w:rFonts w:asciiTheme="minorHAnsi" w:hAnsiTheme="minorHAnsi" w:cstheme="minorHAnsi"/>
          <w:sz w:val="22"/>
          <w:szCs w:val="22"/>
          <w:lang w:val="de-DE"/>
        </w:rPr>
        <w:t>Institution</w:t>
      </w:r>
      <w:r w:rsidR="00A32C7A" w:rsidRPr="0010408D">
        <w:rPr>
          <w:rFonts w:asciiTheme="minorHAnsi" w:hAnsiTheme="minorHAnsi" w:cstheme="minorHAnsi"/>
          <w:sz w:val="22"/>
          <w:szCs w:val="22"/>
          <w:lang w:val="de-DE"/>
        </w:rPr>
        <w:t>:</w:t>
      </w:r>
      <w:r w:rsidR="000E50AC" w:rsidRPr="0010408D">
        <w:rPr>
          <w:rFonts w:asciiTheme="minorHAnsi" w:hAnsiTheme="minorHAnsi" w:cstheme="minorHAnsi"/>
          <w:sz w:val="22"/>
          <w:szCs w:val="22"/>
          <w:lang w:val="de-DE"/>
        </w:rPr>
        <w:t xml:space="preserve"> </w:t>
      </w:r>
      <w:r w:rsidR="00E92636">
        <w:rPr>
          <w:rFonts w:asciiTheme="minorHAnsi" w:hAnsiTheme="minorHAnsi" w:cstheme="minorHAnsi"/>
          <w:sz w:val="22"/>
          <w:szCs w:val="22"/>
          <w:lang w:val="de-DE"/>
        </w:rPr>
        <w:t xml:space="preserve">CHU Cavale Blanche Brest </w:t>
      </w:r>
    </w:p>
    <w:p w14:paraId="1FF701FF" w14:textId="77777777" w:rsidR="00F54B43" w:rsidRPr="0010408D" w:rsidRDefault="00F54B43" w:rsidP="00F83F26">
      <w:pPr>
        <w:pStyle w:val="Sansinterligne"/>
        <w:tabs>
          <w:tab w:val="right" w:leader="underscore" w:pos="9360"/>
        </w:tabs>
        <w:spacing w:after="0" w:line="240" w:lineRule="auto"/>
        <w:rPr>
          <w:rFonts w:asciiTheme="minorHAnsi" w:hAnsiTheme="minorHAnsi" w:cstheme="minorHAnsi"/>
          <w:sz w:val="22"/>
          <w:szCs w:val="22"/>
          <w:lang w:val="de-DE"/>
        </w:rPr>
      </w:pPr>
    </w:p>
    <w:p w14:paraId="62145E57" w14:textId="1B224962" w:rsidR="00382C63" w:rsidRPr="0010408D" w:rsidRDefault="00992F85" w:rsidP="00F83F26">
      <w:pPr>
        <w:pStyle w:val="Sansinterligne"/>
        <w:tabs>
          <w:tab w:val="right" w:leader="underscore" w:pos="9360"/>
        </w:tabs>
        <w:spacing w:after="0" w:line="240" w:lineRule="auto"/>
        <w:rPr>
          <w:rFonts w:asciiTheme="minorHAnsi" w:hAnsiTheme="minorHAnsi" w:cstheme="minorHAnsi"/>
          <w:sz w:val="22"/>
          <w:szCs w:val="22"/>
          <w:lang w:val="de-DE"/>
        </w:rPr>
      </w:pPr>
      <w:r w:rsidRPr="0010408D">
        <w:rPr>
          <w:rFonts w:asciiTheme="minorHAnsi" w:hAnsiTheme="minorHAnsi" w:cstheme="minorHAnsi"/>
          <w:sz w:val="22"/>
          <w:szCs w:val="22"/>
          <w:lang w:val="de-DE"/>
        </w:rPr>
        <w:t>Address</w:t>
      </w:r>
      <w:r w:rsidR="00A32C7A" w:rsidRPr="0010408D">
        <w:rPr>
          <w:rFonts w:asciiTheme="minorHAnsi" w:hAnsiTheme="minorHAnsi" w:cstheme="minorHAnsi"/>
          <w:sz w:val="22"/>
          <w:szCs w:val="22"/>
          <w:lang w:val="de-DE"/>
        </w:rPr>
        <w:t>:</w:t>
      </w:r>
      <w:r w:rsidR="000E50AC" w:rsidRPr="0010408D">
        <w:rPr>
          <w:rFonts w:asciiTheme="minorHAnsi" w:hAnsiTheme="minorHAnsi" w:cstheme="minorHAnsi"/>
          <w:sz w:val="22"/>
          <w:szCs w:val="22"/>
          <w:lang w:val="de-DE"/>
        </w:rPr>
        <w:t xml:space="preserve"> </w:t>
      </w:r>
      <w:r w:rsidR="00E92636">
        <w:rPr>
          <w:rFonts w:asciiTheme="minorHAnsi" w:hAnsiTheme="minorHAnsi" w:cstheme="minorHAnsi"/>
          <w:sz w:val="22"/>
          <w:szCs w:val="22"/>
          <w:lang w:val="de-DE"/>
        </w:rPr>
        <w:t xml:space="preserve">Bd Tanguy Prigent, 29200 Brest </w:t>
      </w:r>
    </w:p>
    <w:p w14:paraId="42740D1E" w14:textId="77777777" w:rsidR="00F54B43" w:rsidRPr="0010408D" w:rsidRDefault="00F54B43" w:rsidP="00F83F26">
      <w:pPr>
        <w:pStyle w:val="Sansinterligne"/>
        <w:tabs>
          <w:tab w:val="right" w:leader="underscore" w:pos="9360"/>
        </w:tabs>
        <w:spacing w:after="0" w:line="240" w:lineRule="auto"/>
        <w:rPr>
          <w:rFonts w:asciiTheme="minorHAnsi" w:hAnsiTheme="minorHAnsi" w:cstheme="minorHAnsi"/>
          <w:sz w:val="22"/>
          <w:szCs w:val="22"/>
          <w:lang w:val="de-DE"/>
        </w:rPr>
      </w:pPr>
    </w:p>
    <w:p w14:paraId="792805BF" w14:textId="1E14246F" w:rsidR="00382C63" w:rsidRPr="0010408D" w:rsidRDefault="00992F85" w:rsidP="00F83F26">
      <w:pPr>
        <w:pStyle w:val="Sansinterligne"/>
        <w:tabs>
          <w:tab w:val="right" w:leader="underscore" w:pos="5580"/>
        </w:tabs>
        <w:spacing w:after="0" w:line="240" w:lineRule="auto"/>
        <w:rPr>
          <w:rFonts w:asciiTheme="minorHAnsi" w:hAnsiTheme="minorHAnsi" w:cstheme="minorHAnsi"/>
          <w:sz w:val="22"/>
          <w:szCs w:val="22"/>
          <w:lang w:val="de-DE"/>
        </w:rPr>
      </w:pPr>
      <w:r w:rsidRPr="0010408D">
        <w:rPr>
          <w:rFonts w:asciiTheme="minorHAnsi" w:hAnsiTheme="minorHAnsi" w:cstheme="minorHAnsi"/>
          <w:sz w:val="22"/>
          <w:szCs w:val="22"/>
          <w:lang w:val="de-DE"/>
        </w:rPr>
        <w:t>Telephone</w:t>
      </w:r>
      <w:r w:rsidR="00A32C7A" w:rsidRPr="0010408D">
        <w:rPr>
          <w:rFonts w:asciiTheme="minorHAnsi" w:hAnsiTheme="minorHAnsi" w:cstheme="minorHAnsi"/>
          <w:sz w:val="22"/>
          <w:szCs w:val="22"/>
          <w:lang w:val="de-DE"/>
        </w:rPr>
        <w:t>:</w:t>
      </w:r>
      <w:r w:rsidR="000E50AC" w:rsidRPr="0010408D">
        <w:rPr>
          <w:rFonts w:asciiTheme="minorHAnsi" w:hAnsiTheme="minorHAnsi" w:cstheme="minorHAnsi"/>
          <w:sz w:val="22"/>
          <w:szCs w:val="22"/>
          <w:lang w:val="de-DE"/>
        </w:rPr>
        <w:t xml:space="preserve"> </w:t>
      </w:r>
      <w:r w:rsidR="00E92636">
        <w:rPr>
          <w:rFonts w:asciiTheme="minorHAnsi" w:hAnsiTheme="minorHAnsi" w:cstheme="minorHAnsi"/>
          <w:sz w:val="22"/>
          <w:szCs w:val="22"/>
          <w:lang w:val="de-DE"/>
        </w:rPr>
        <w:t>+33298347425</w:t>
      </w:r>
    </w:p>
    <w:p w14:paraId="0F716607" w14:textId="77777777" w:rsidR="00F54B43" w:rsidRPr="0010408D" w:rsidRDefault="00F54B43" w:rsidP="00F83F26">
      <w:pPr>
        <w:pStyle w:val="Sansinterligne"/>
        <w:tabs>
          <w:tab w:val="right" w:leader="underscore" w:pos="5580"/>
        </w:tabs>
        <w:spacing w:after="0" w:line="240" w:lineRule="auto"/>
        <w:rPr>
          <w:rFonts w:asciiTheme="minorHAnsi" w:hAnsiTheme="minorHAnsi" w:cstheme="minorHAnsi"/>
          <w:sz w:val="22"/>
          <w:szCs w:val="22"/>
          <w:lang w:val="de-DE"/>
        </w:rPr>
      </w:pPr>
    </w:p>
    <w:p w14:paraId="0C63D4EA" w14:textId="29FD9651" w:rsidR="00382C63" w:rsidRPr="0010408D" w:rsidRDefault="00992F85" w:rsidP="00F83F26">
      <w:pPr>
        <w:pStyle w:val="Sansinterligne"/>
        <w:tabs>
          <w:tab w:val="right" w:leader="underscore" w:pos="5580"/>
        </w:tabs>
        <w:spacing w:after="0" w:line="240" w:lineRule="auto"/>
        <w:rPr>
          <w:rFonts w:asciiTheme="minorHAnsi" w:hAnsiTheme="minorHAnsi" w:cstheme="minorHAnsi"/>
          <w:sz w:val="22"/>
          <w:szCs w:val="22"/>
          <w:lang w:val="de-DE"/>
        </w:rPr>
      </w:pPr>
      <w:r w:rsidRPr="0010408D">
        <w:rPr>
          <w:rFonts w:asciiTheme="minorHAnsi" w:hAnsiTheme="minorHAnsi" w:cstheme="minorHAnsi"/>
          <w:sz w:val="22"/>
          <w:szCs w:val="22"/>
          <w:lang w:val="de-DE"/>
        </w:rPr>
        <w:t>E</w:t>
      </w:r>
      <w:r w:rsidR="00FE3760" w:rsidRPr="0010408D">
        <w:rPr>
          <w:rFonts w:asciiTheme="minorHAnsi" w:hAnsiTheme="minorHAnsi" w:cstheme="minorHAnsi"/>
          <w:sz w:val="22"/>
          <w:szCs w:val="22"/>
          <w:lang w:val="de-DE"/>
        </w:rPr>
        <w:t>-</w:t>
      </w:r>
      <w:r w:rsidRPr="0010408D">
        <w:rPr>
          <w:rFonts w:asciiTheme="minorHAnsi" w:hAnsiTheme="minorHAnsi" w:cstheme="minorHAnsi"/>
          <w:sz w:val="22"/>
          <w:szCs w:val="22"/>
          <w:lang w:val="de-DE"/>
        </w:rPr>
        <w:t>mail</w:t>
      </w:r>
      <w:r w:rsidR="00A32C7A" w:rsidRPr="0010408D">
        <w:rPr>
          <w:rFonts w:asciiTheme="minorHAnsi" w:hAnsiTheme="minorHAnsi" w:cstheme="minorHAnsi"/>
          <w:sz w:val="22"/>
          <w:szCs w:val="22"/>
          <w:lang w:val="de-DE"/>
        </w:rPr>
        <w:t>:</w:t>
      </w:r>
      <w:r w:rsidR="000E50AC" w:rsidRPr="0010408D">
        <w:rPr>
          <w:rFonts w:asciiTheme="minorHAnsi" w:hAnsiTheme="minorHAnsi" w:cstheme="minorHAnsi"/>
          <w:sz w:val="22"/>
          <w:szCs w:val="22"/>
          <w:lang w:val="de-DE"/>
        </w:rPr>
        <w:t xml:space="preserve"> </w:t>
      </w:r>
      <w:r w:rsidR="00E92636">
        <w:rPr>
          <w:rFonts w:asciiTheme="minorHAnsi" w:hAnsiTheme="minorHAnsi" w:cstheme="minorHAnsi"/>
          <w:sz w:val="22"/>
          <w:szCs w:val="22"/>
          <w:lang w:val="de-DE"/>
        </w:rPr>
        <w:t>nasr.bahaa@gmail.com</w:t>
      </w:r>
    </w:p>
    <w:p w14:paraId="6CEBDB96" w14:textId="77777777" w:rsidR="00382C63" w:rsidRPr="0010408D" w:rsidRDefault="002E3715" w:rsidP="00F83F26">
      <w:pPr>
        <w:pStyle w:val="Sansinterligne"/>
        <w:tabs>
          <w:tab w:val="right" w:leader="underscore" w:pos="5580"/>
        </w:tabs>
        <w:spacing w:after="0" w:line="240" w:lineRule="auto"/>
        <w:rPr>
          <w:rFonts w:asciiTheme="minorHAnsi" w:hAnsiTheme="minorHAnsi" w:cstheme="minorHAnsi"/>
          <w:sz w:val="24"/>
          <w:szCs w:val="24"/>
          <w:lang w:val="de-DE"/>
        </w:rPr>
      </w:pPr>
      <w:r w:rsidRPr="0010408D">
        <w:rPr>
          <w:rFonts w:asciiTheme="minorHAnsi" w:hAnsiTheme="minorHAnsi" w:cstheme="minorHAnsi"/>
          <w:noProof/>
          <w:sz w:val="24"/>
          <w:szCs w:val="24"/>
          <w:lang w:val="fr-FR" w:eastAsia="fr-FR"/>
        </w:rPr>
        <mc:AlternateContent>
          <mc:Choice Requires="wps">
            <w:drawing>
              <wp:anchor distT="0" distB="0" distL="114300" distR="114300" simplePos="0" relativeHeight="251665408" behindDoc="0" locked="0" layoutInCell="1" allowOverlap="1" wp14:anchorId="3221295B" wp14:editId="3D3C61E6">
                <wp:simplePos x="0" y="0"/>
                <wp:positionH relativeFrom="column">
                  <wp:posOffset>-15240</wp:posOffset>
                </wp:positionH>
                <wp:positionV relativeFrom="paragraph">
                  <wp:posOffset>97790</wp:posOffset>
                </wp:positionV>
                <wp:extent cx="5943600" cy="635"/>
                <wp:effectExtent l="0" t="12700" r="12700" b="2476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straightConnector1">
                          <a:avLst/>
                        </a:prstGeom>
                        <a:noFill/>
                        <a:ln w="38100">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07E7279" id="AutoShape 9" o:spid="_x0000_s1026" type="#_x0000_t32" style="position:absolute;margin-left:-1.2pt;margin-top:7.7pt;width:468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" strokecolor="#a5a5a5 [3206]" strokeweight="3pt">
                <v:shadow color="#525252 [1606]" offset="1pt"/>
                <o:lock v:ext="edit" shapetype="f"/>
              </v:shape>
            </w:pict>
          </mc:Fallback>
        </mc:AlternateContent>
      </w:r>
    </w:p>
    <w:p w14:paraId="6C11EBCE" w14:textId="214FEF70" w:rsidR="00663A2A" w:rsidRPr="0010408D" w:rsidRDefault="002E3715" w:rsidP="00A01764">
      <w:pPr>
        <w:spacing w:after="160" w:line="259" w:lineRule="auto"/>
        <w:rPr>
          <w:rFonts w:asciiTheme="minorHAnsi" w:eastAsiaTheme="minorHAnsi" w:hAnsiTheme="minorHAnsi" w:cstheme="minorHAnsi"/>
          <w:szCs w:val="24"/>
        </w:rPr>
      </w:pPr>
      <w:r w:rsidRPr="0010408D">
        <w:rPr>
          <w:rFonts w:asciiTheme="minorHAnsi" w:hAnsiTheme="minorHAnsi" w:cstheme="minorHAnsi"/>
          <w:noProof/>
          <w:szCs w:val="24"/>
          <w:lang w:val="fr-FR" w:eastAsia="fr-FR"/>
        </w:rPr>
        <mc:AlternateContent>
          <mc:Choice Requires="wps">
            <w:drawing>
              <wp:anchor distT="0" distB="0" distL="114300" distR="114300" simplePos="0" relativeHeight="251667456" behindDoc="0" locked="0" layoutInCell="1" allowOverlap="1" wp14:anchorId="2D68D518" wp14:editId="29C3C579">
                <wp:simplePos x="0" y="0"/>
                <wp:positionH relativeFrom="column">
                  <wp:posOffset>10795</wp:posOffset>
                </wp:positionH>
                <wp:positionV relativeFrom="paragraph">
                  <wp:posOffset>96520</wp:posOffset>
                </wp:positionV>
                <wp:extent cx="0" cy="0"/>
                <wp:effectExtent l="0" t="0" r="0" b="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straightConnector1">
                          <a:avLst/>
                        </a:prstGeom>
                        <a:noFill/>
                        <a:ln w="38100">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4E290D" id="AutoShape 11" o:spid="_x0000_s1026" type="#_x0000_t32" style="position:absolute;margin-left:.85pt;margin-top:7.6pt;width:0;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" strokecolor="#a5a5a5 [3206]" strokeweight="3pt">
                <v:shadow color="#525252 [1606]" opacity=".5" offset="1pt"/>
                <o:lock v:ext="edit" shapetype="f"/>
              </v:shape>
            </w:pict>
          </mc:Fallback>
        </mc:AlternateContent>
      </w:r>
      <w:r w:rsidR="002E4046" w:rsidRPr="0010408D">
        <w:rPr>
          <w:rFonts w:asciiTheme="minorHAnsi" w:hAnsiTheme="minorHAnsi" w:cstheme="minorHAnsi"/>
          <w:b/>
          <w:szCs w:val="24"/>
        </w:rPr>
        <w:t xml:space="preserve">Brief </w:t>
      </w:r>
      <w:r w:rsidRPr="0010408D">
        <w:rPr>
          <w:rFonts w:asciiTheme="minorHAnsi" w:hAnsiTheme="minorHAnsi" w:cstheme="minorHAnsi"/>
          <w:b/>
          <w:szCs w:val="24"/>
        </w:rPr>
        <w:t>P</w:t>
      </w:r>
      <w:r w:rsidR="00676CB2" w:rsidRPr="0010408D">
        <w:rPr>
          <w:rFonts w:asciiTheme="minorHAnsi" w:hAnsiTheme="minorHAnsi" w:cstheme="minorHAnsi"/>
          <w:b/>
          <w:szCs w:val="24"/>
        </w:rPr>
        <w:t>roject</w:t>
      </w:r>
      <w:r w:rsidRPr="0010408D">
        <w:rPr>
          <w:rFonts w:asciiTheme="minorHAnsi" w:hAnsiTheme="minorHAnsi" w:cstheme="minorHAnsi"/>
          <w:b/>
          <w:szCs w:val="24"/>
        </w:rPr>
        <w:t xml:space="preserve"> proposal</w:t>
      </w:r>
      <w:r w:rsidR="00074FC2" w:rsidRPr="0010408D">
        <w:rPr>
          <w:rFonts w:asciiTheme="minorHAnsi" w:hAnsiTheme="minorHAnsi" w:cstheme="minorHAnsi"/>
          <w:b/>
          <w:szCs w:val="24"/>
        </w:rPr>
        <w:tab/>
      </w:r>
    </w:p>
    <w:p w14:paraId="06902E02" w14:textId="77777777" w:rsidR="00D272F9" w:rsidRPr="0010408D" w:rsidRDefault="00D272F9" w:rsidP="00A86BC7">
      <w:pPr>
        <w:shd w:val="clear" w:color="auto" w:fill="FFFFFF" w:themeFill="background1"/>
        <w:rPr>
          <w:rFonts w:asciiTheme="minorHAnsi" w:hAnsiTheme="minorHAnsi" w:cstheme="minorHAnsi"/>
          <w:sz w:val="22"/>
          <w:szCs w:val="24"/>
        </w:rPr>
      </w:pPr>
    </w:p>
    <w:p w14:paraId="606F0D9C" w14:textId="26A00F49" w:rsidR="00455D7B" w:rsidRPr="00CD1A30" w:rsidRDefault="00455D7B" w:rsidP="00455D7B">
      <w:pPr>
        <w:shd w:val="clear" w:color="auto" w:fill="FFFFFF" w:themeFill="background1"/>
        <w:ind w:firstLine="720"/>
        <w:jc w:val="both"/>
        <w:rPr>
          <w:noProof/>
          <w:szCs w:val="24"/>
        </w:rPr>
      </w:pPr>
      <w:r w:rsidRPr="00CD1A30">
        <w:rPr>
          <w:szCs w:val="24"/>
        </w:rPr>
        <w:t>Peripheral artery disease represents a significant health care burden</w:t>
      </w:r>
      <w:r w:rsidR="00E92636" w:rsidRPr="00CD1A30">
        <w:rPr>
          <w:szCs w:val="24"/>
        </w:rPr>
        <w:t xml:space="preserve">. </w:t>
      </w:r>
      <w:r w:rsidR="00E92636" w:rsidRPr="00CD1A30">
        <w:rPr>
          <w:bCs/>
          <w:szCs w:val="24"/>
          <w:lang w:val="en-GB"/>
        </w:rPr>
        <w:t>On the European and American scale, this pathology represents a population of 1.5 to 2 million and results each year in 220 000 to 240 000 minor and major amputations (1).</w:t>
      </w:r>
      <w:r w:rsidRPr="00CD1A30">
        <w:rPr>
          <w:szCs w:val="24"/>
        </w:rPr>
        <w:t xml:space="preserve"> </w:t>
      </w:r>
      <w:r w:rsidR="00E92636" w:rsidRPr="00CD1A30">
        <w:rPr>
          <w:bCs/>
          <w:szCs w:val="24"/>
          <w:lang w:val="en-GB"/>
        </w:rPr>
        <w:t xml:space="preserve">Currently, endovascular treatment appears indispensable in the treatment of lower limbs </w:t>
      </w:r>
      <w:proofErr w:type="spellStart"/>
      <w:r w:rsidR="00E92636" w:rsidRPr="00CD1A30">
        <w:rPr>
          <w:bCs/>
          <w:szCs w:val="24"/>
          <w:lang w:val="en-GB"/>
        </w:rPr>
        <w:t>atheromatous</w:t>
      </w:r>
      <w:proofErr w:type="spellEnd"/>
      <w:r w:rsidR="00E92636" w:rsidRPr="00CD1A30">
        <w:rPr>
          <w:bCs/>
          <w:szCs w:val="24"/>
          <w:lang w:val="en-GB"/>
        </w:rPr>
        <w:t xml:space="preserve"> lesions (</w:t>
      </w:r>
      <w:r w:rsidR="009D227C" w:rsidRPr="00CD1A30">
        <w:rPr>
          <w:bCs/>
          <w:szCs w:val="24"/>
          <w:lang w:val="en-GB"/>
        </w:rPr>
        <w:t>1</w:t>
      </w:r>
      <w:r w:rsidR="00E92636" w:rsidRPr="00CD1A30">
        <w:rPr>
          <w:bCs/>
          <w:szCs w:val="24"/>
          <w:lang w:val="en-GB"/>
        </w:rPr>
        <w:t xml:space="preserve">). Common femoral artery (CFA) </w:t>
      </w:r>
      <w:proofErr w:type="spellStart"/>
      <w:r w:rsidR="00E92636" w:rsidRPr="00CD1A30">
        <w:rPr>
          <w:bCs/>
          <w:szCs w:val="24"/>
          <w:lang w:val="en-GB"/>
        </w:rPr>
        <w:t>atheromatous</w:t>
      </w:r>
      <w:proofErr w:type="spellEnd"/>
      <w:r w:rsidR="00E92636" w:rsidRPr="00CD1A30">
        <w:rPr>
          <w:bCs/>
          <w:szCs w:val="24"/>
          <w:lang w:val="en-GB"/>
        </w:rPr>
        <w:t xml:space="preserve"> lesions have a significant impact on the lower limb vascularization as they prevent direct leg vascularization through the </w:t>
      </w:r>
      <w:proofErr w:type="spellStart"/>
      <w:r w:rsidR="00E92636" w:rsidRPr="00CD1A30">
        <w:rPr>
          <w:bCs/>
          <w:szCs w:val="24"/>
          <w:lang w:val="en-GB"/>
        </w:rPr>
        <w:t>femoro</w:t>
      </w:r>
      <w:proofErr w:type="spellEnd"/>
      <w:r w:rsidR="00E92636" w:rsidRPr="00CD1A30">
        <w:rPr>
          <w:bCs/>
          <w:szCs w:val="24"/>
          <w:lang w:val="en-GB"/>
        </w:rPr>
        <w:t>-popliteal axis, and they also prevent the development of a collateral circulation through the deep femoral artery. The last European consensus, interested in the management of CFA occlusive lesions, has further expanded the endovascular treatment indications</w:t>
      </w:r>
      <w:r w:rsidR="00AD645E" w:rsidRPr="00CD1A30">
        <w:rPr>
          <w:bCs/>
          <w:szCs w:val="24"/>
          <w:lang w:val="en-GB"/>
        </w:rPr>
        <w:t xml:space="preserve"> (ref ESVS)</w:t>
      </w:r>
      <w:r w:rsidR="00E92636" w:rsidRPr="00CD1A30">
        <w:rPr>
          <w:bCs/>
          <w:szCs w:val="24"/>
          <w:lang w:val="en-GB"/>
        </w:rPr>
        <w:t>.</w:t>
      </w:r>
    </w:p>
    <w:p w14:paraId="1F69F6CF" w14:textId="77777777" w:rsidR="00455D7B" w:rsidRPr="00CD1A30" w:rsidRDefault="00455D7B" w:rsidP="007972F8">
      <w:pPr>
        <w:shd w:val="clear" w:color="auto" w:fill="FFFFFF" w:themeFill="background1"/>
        <w:jc w:val="both"/>
        <w:rPr>
          <w:noProof/>
          <w:szCs w:val="24"/>
        </w:rPr>
      </w:pPr>
    </w:p>
    <w:p w14:paraId="668C338C" w14:textId="72C06282" w:rsidR="007972F8" w:rsidRPr="00CD1A30" w:rsidRDefault="007972F8" w:rsidP="00D5412D">
      <w:pPr>
        <w:pStyle w:val="Default"/>
        <w:rPr>
          <w:rFonts w:ascii="Times New Roman" w:hAnsi="Times New Roman" w:cs="Times New Roman"/>
        </w:rPr>
      </w:pPr>
      <w:r w:rsidRPr="00CD1A30">
        <w:rPr>
          <w:rFonts w:ascii="Times New Roman" w:hAnsi="Times New Roman" w:cs="Times New Roman"/>
          <w:bCs/>
          <w:lang w:val="en-GB"/>
        </w:rPr>
        <w:t xml:space="preserve">Open surgery remains the standard treatment especially in the case of extensive lesions (ESVS). </w:t>
      </w:r>
      <w:r w:rsidR="005D7257" w:rsidRPr="00CD1A30">
        <w:rPr>
          <w:rFonts w:ascii="Times New Roman" w:hAnsi="Times New Roman" w:cs="Times New Roman"/>
          <w:lang w:val="en-GB"/>
        </w:rPr>
        <w:t xml:space="preserve">Several studies have shown promising results regarding stenting for de novo CFA lesions </w:t>
      </w:r>
      <w:r w:rsidR="005D7257" w:rsidRPr="00CD1A30">
        <w:rPr>
          <w:rFonts w:ascii="Times New Roman" w:hAnsi="Times New Roman" w:cs="Times New Roman"/>
          <w:lang w:val="en-GB"/>
        </w:rPr>
        <w:fldChar w:fldCharType="begin"/>
      </w:r>
      <w:r w:rsidR="005D7257" w:rsidRPr="00CD1A30">
        <w:rPr>
          <w:rFonts w:ascii="Times New Roman" w:hAnsi="Times New Roman" w:cs="Times New Roman"/>
          <w:lang w:val="en-GB"/>
        </w:rPr>
        <w:instrText xml:space="preserve"> ADDIN ZOTERO_ITEM CSL_CITATION {"citationID":"cBPOUYI6","properties":{"formattedCitation":"{\\rtf (1\\uc0\\u8211{}7)}","plainCitation":"(1–7)"},"citationItems":[{"id":1211,"uris":["http://zotero.org/users/2385806/items/MMZ657SU"],"uri":["http://zotero.org/users/2385806/items/MMZ657SU"],"itemData":{"id":1211,"type":"article-journal","title":"Stenting or Surgery for De Novo Common Femoral Artery Stenosis","container-title":"JACC. Cardiovascular interventions","page":"1344-1354","volume":"10","issue":"13","source":"PubMed","abstract":"OBJECTIVES: The TECCO (Traitement des Lésions Athéromateuses de l'Artère Fémorale Commune par Technique Endovasculaire Versus Chirurgie Ouverte [Endovascular Versus Open Repair of the Common Femoral Artery]) trial is a randomized comparison of safety and efficacy of stenting versus open surgery for de novo common femoral artery (CFA) stenosis.\nBACKGROUND: Surgery for CFA lesions is considered effective and durable. Despite the widespread use of endovascular repair for infrainguinal disease, the value of this procedure for such lesions is uncertain.\nMETHODS: From February 23, 2011, to September 5, 2013, a total of 117 patients with de novo atherosclerotic lesions of the CFA were randomly assigned to undergo surgery (n = 61) or stenting (n = 56). The main exclusion criteria were asymptomatic disease, restenosis, and thrombosis of the CFA. The primary outcome was the morbidity and mortality rate within 30 days. This includes any general complications or local complications that caused or prolonged hospitalization and/or re-intervention, lymphorrhea of more than 3 days, and post-operative paresthesia that required drugs. The median duration of follow-up was 2 years (interquartile range [IQR]: 19.8 to 24.9 years).\nRESULTS: Primary outcome events occurred in 16 of 61 patients (26%) in the surgery group and 7 of 56 patients (12.5%) in the stenting group (odds ratio: 2.5; 95% confidence interval: 0.9 to 6.6; p = 0.05). The mean duration of hospitalization was significantly lower in the stenting group (3.2 ± 2.9 days vs. 6.3 ± 3 days; p &lt; 0.0001). At 24 months, the sustained clinical improvement, the primary patency rate, and the target lesion and extremity revascularization rates were not different in the 2 groups.\nCONCLUSIONS: In patients with de novo atherosclerotic lesions of the CFA, the perioperative morbidity and mortality rate was significantly lower among patients who underwent endovascular therapy by stenting compared with surgery, whereas clinical, morphological, and hemodynamic outcomes were comparable at mid-term. (Traitement des Lésions Athéromateuses de l'Artère Fémorale Commune par Technique Endovasculaire Versus Chirurgie Ouverte [Endovascular Versus Open Repair of the Common Femoral Artery] [TECCO]; NCT01353651).","DOI":"10.1016/j.jcin.2017.03.046","ISSN":"1876-7605","note":"00001 \nPMID: 28683941","journalAbbreviation":"JACC Cardiovasc Interv","language":"eng","author":[{"family":"Gouëffic","given":"Yann"},{"family":"Della Schiava","given":"Nellie"},{"family":"Thaveau","given":"Fabien"},{"family":"Rosset","given":"Eugenio"},{"family":"Favre","given":"Jean-Pierre"},{"family":"Salomon du Mont","given":"Lucie"},{"family":"Alsac","given":"Jean-Marc"},{"family":"Hassen-Khodja","given":"Réda"},{"family":"Reix","given":"Thierry"},{"family":"Allaire","given":"Eric"},{"family":"Ducasse","given":"Eric"},{"family":"Soler","given":"Raphael"},{"family":"Guyomarc'h","given":"Béatrice"},{"family":"Nasr","given":"Bahaa"}],"issued":{"date-parts":[["2017",7,10]]}}},{"id":477,"uris":["http://zotero.org/users/2385806/items/QBRMPWKJ"],"uri":["http://zotero.org/users/2385806/items/QBRMPWKJ"],"itemData":{"id":477,"type":"article-journal","title":"Angioplasty of the common femoral artery and its bifurcation","container-title":"Annals of Vascular Surgery","page":"960-967","volume":"29","issue":"5","source":"PubMed","abstract":"BACKGROUND: To evaluate the efficacy of percutaneous transluminal angioplasty (PTA) of atherosclerotic lesions of the common femoral artery (CFA) and its bifurcation.\nMETHODS: From 2009 to 2013, 53 patients (43 men, average age, 68 years) were included in a single-center, nonrandomized, prospective study. Indication was disabling intermittent claudication (n = 36) or chronic critical limb ischemia (n = 17). Thirty-four procedures (64%) were isolated CFA PTA, whereas 7 of 53 (13%) involved inflow (including 4 iliac occlusions) and 12 of 53 (23%) involved outflow vessels. Primary stenting was performed in 50 cases (95%). CFA occlusions were recanalized in 4 of 53. Lesions involved the bifurcation in 22 cases (40%). Follow-up consisted of clinical examination and duplex scanning with ankle-brachial index measurement at 1, 6, and 12 months. A biplane X-ray was performed at 1 year. The primary end point was the absence of binary restenosis (&gt;50% reobstruction of the CFA). Secondary end points were freedom from target lesion revascularization (TLR) and stent fracture rate.\nRESULTS: Procedural success was achieved in 96% of cases. At a mean follow-up of 24 months (with 1 patient lost of follow-up), the absence of binary restenosis was 92.5%. At the end of follow-up, 82% of patients continued to show clinical improvement. Freedom from TLR was 97%. Stent fracture rate at 1 year was 9%.\nCONCLUSIONS: PTA of the CFA and its bifurcation is a reliable technique with good midterm functional results. These results justify performing a randomized study comparing surgery and endovascular treatment.","DOI":"10.1016/j.avsg.2015.02.001","ISSN":"1615-5947","note":"00002 \nPMID: 25765633","journalAbbreviation":"Ann Vasc Surg","language":"eng","author":[{"family":"Thiney","given":"Pierre-Olivier"},{"family":"Millon","given":"Antoine"},{"family":"Boudjelit","given":"Tarek"},{"family":"Della Schiava","given":"Nellie"},{"family":"Feugier","given":"Patrick"},{"family":"Lermusiaux","given":"Patrick"}],"issued":{"date-parts":[["2015",7]]}}},{"id":1241,"uris":["http://zotero.org/users/2385806/items/D839EKKF"],"uri":["http://zotero.org/users/2385806/items/D839EKKF"],"itemData":{"id":1241,"type":"article-journal","title":"Stent-assisted angioplasty at the level of the common femoral artery bifurcation: midterm outcomes","container-title":"Journal of Endovascular Therapy: An Official Journal of the International Society of Endovascular Specialists","page":"281-286","volume":"11","issue":"3","source":"PubMed","abstract":"PURPOSE: To report the midterm outcome after stent-assisted angioplasty of occlusive disease at the common femoral artery bifurcation.\nMETHODS: Between 1995 and 2002, 27 consecutive patients (18 men; mean age 70 years, range 47-90) underwent angioplasty with stent implantation in 33 limbs; target sites included 19 common femoral arteries, the origins of 2 superficial or 4 profunda femoris arteries, and 8 bypass anastomoses.\nRESULTS: Technical success was 100%. Patients were followed for a mean 30 months (95% CI 21 to 39), at which time the cumulative primary patency was 86% (95% CI 85% to 88%). At 3 years, 83% of the arteries were patent. Five restenoses were due to neointimal hyperplasia in 4 cases (3 bypass grafts) and strut failure of the only balloon-expandable stent used in this series. Restenoses due to neointimal hyperplasia at bypass anastomoses (3/ 8) were more common than in native arteries (2/25) (p=0.078); cumulative primary patency for the bypass subgroup was 71% (95% CI 59% to 82%) at a mean 23-month follow-up; 75% and 60% of the anastomoses were patent after 1 and 2 years, respectively.\nCONCLUSIONS: Angioplasty of obstructions in the common femoral artery and its bifurcation with implantation of self-expanding stents shows good midterm primary patency. Native artery lesions have a better outcome than stenoses at bypass anastomoses. The procedure does not preclude further endovascular interventions at the puncture site.","DOI":"10.1583/03-1169.1","ISSN":"1526-6028","note":"00055 \nPMID: 15174914","shortTitle":"Stent-assisted angioplasty at the level of the common femoral artery bifurcation","journalAbbreviation":"J. Endovasc. Ther.","language":"eng","author":[{"family":"Stricker","given":"Hans"},{"family":"Jacomella","given":"Vincenzo"}],"issued":{"date-parts":[["2004",6]]}}},{"id":1231,"uris":["http://zotero.org/users/2385806/items/FJNBTQH9"],"uri":["http://zotero.org/users/2385806/items/FJNBTQH9"],"itemData":{"id":1231,"type":"article-journal","title":"Endovascular treatment of common femoral artery disease: medium-term outcomes of 360 consecutive procedures","container-title":"Journal of the American College of Cardiology","page":"792-798","volume":"58","issue":"8","source":"PubMed","abstract":"OBJECTIVES: The purpose of this study was to evaluate the technical feasability, safety, and 1-year efficacy of the endovascular treatment of atherosclerotic common femoral artery (CFA) obstructions.\nBACKGROUND: Atherosclerotic CFA obstruction is a known cause of symptomatic peripheral arterial disease. Although surgical endarterectomy is considered the therapy of choice for this condition, little is known about the percutaneous options.\nMETHODS: Using a prospectively maintained single-center database, we retrospectively analyzed the outcomes of 360 consecutive percutaneous interventions of the CFA for atherosclerotic disease and assessed procedural success, in-hospital complications, and 1-year patency and target lesion revascularization rates.\nRESULTS: Ninety-seven procedures (26.9%) were isolated CFA interventions, whereas 157 (43.6%) and 152 (42.2%) also involved inflow and outflow vessels, respectively. Bifurcation lesions were present in 140 cases (38.9%), and concomitant treatment of the profunda femoral artery was performed on 93 occasions (25.8%). Chronic total CFA occlusions were recanalized in 60 cases (16.7%). Balloon angioplasty was performed as the primary intervention in virtually all cases (98.6%), whereas stenting was needed for suboptimal angioplasty results in 133 procedures (36.9%). Failures-defined as a final angiographic result with a &gt;30% residual stenosis-were observed on 26 occasions (7.2%). In-hospital major (i.e., requiring surgery) and minor (i.e., treated percutaneously or conservatively) complications occurred in 5 (1.4%) and 18 (5.0%) procedures, respectively. One-year follow-up data were available for 281 patients (87.5%). Restenosis &gt;50% by duplex scanning and target lesion revascularization were observed in 74 of 268 (27.6%) and 64 of 322 (19.9%) procedures, respectively.\nCONCLUSIONS: This large series suggests that the percutaneous approach may be a valid alternative to surgery for CFA atherosclerotic obstructions.","DOI":"10.1016/j.jacc.2011.01.070","ISSN":"1558-3597","note":"00065 \nPMID: 21835313","shortTitle":"Endovascular treatment of common femoral artery disease","journalAbbreviation":"J. Am. Coll. Cardiol.","language":"eng","author":[{"family":"Bonvini","given":"Robert F."},{"family":"Rastan","given":"Aljoscha"},{"family":"Sixt","given":"Sebastian"},{"family":"Noory","given":"Elias"},{"family":"Schwarz","given":"Thomas"},{"family":"Frank","given":"Ulrich"},{"family":"Roffi","given":"Marco"},{"family":"Dorsaz","given":"Pierre André"},{"family":"Schwarzwälder","given":"Uwe"},{"family":"Bürgelin","given":"Karlheinz"},{"family":"Macharzina","given":"Roland"},{"family":"Zeller","given":"Thomas"}],"issued":{"date-parts":[["2011",8,16]]}}},{"id":1260,"uris":["http://zotero.org/users/2385806/items/FU869JFE"],"uri":["http://zotero.org/users/2385806/items/FU869JFE"],"itemData":{"id":1260,"type":"article-journal","title":"Endovascular treatment of common femoral artery obstructions","container-title":"Journal of Vascular Surgery","page":"1000-1006","volume":"53","issue":"4","source":"PubMed","abstract":"OBJECTIVE: To evaluate the clinical efficacy of endovascular therapy of symptomatic obstructions of the common femoral artery (CFA).\nMETHODS: Consecutive series of patients undergoing endovascular therapy of chronic CFA obstructions between 1995 and 2009 and who were followed systematically within a prospectively maintained database. Clinical assessment was based on current guidelines including ankle-brachial index (ABI) and was performed at baseline and the day of discharge and then repeated at 3, 6, and 12 months and annually thereafter. Technical success of intervention was defined as a final residual diameter stenosis of &lt;30%. Sustained clinical improvement was defined as a sustained upward shift of at least one category on the Rutherford classification compared with baseline without the need for repeated target lesion revascularization (TLR) or amputation in surviving patients. Limb salvage was defined as absence of a major (ie, above the ankle) amputation. Survival analysis was performed using the Kaplan-Meier method.\nRESULTS: Ninety-eight patients (38 women, mean age 72 ± 11 years) presented with 104 ischemic limbs, 20 of which (19%) were classified as having critical limb ischemia (CLI). Technical success rate was 98%. Stents were placed in eight CLI patients (40%) and in 20 claudicants (24%). Mean ABI improved from 0.28 to 0.54 (P &lt; .001) in CLI patients and from 0.61 to 0.85 (P &lt; .001) in claudicants. Mean follow-up was 16 months. Primary sustained clinical improvement rates at 3, 6, 12, and 24 months were 55%, 55%, 40%, and 0% in CLI patients and 81%, 75%, 68%, and 52% in claudicants, respectively. Limb salvage rates at 24 months were 94% in CLI patients and 100% in claudicants. After adjustment for confounding factors, presence of ischemic ulcers (hazard ratio [HR], 4.7; 95% confidence interval [CI], 1.49-14.85; P = .009), obstruction of the femoropopliteal arterial tract (HR, 3.9; 95% CI, 1.66-9.16; P = .002) and diabetes mellitus (HR, 2.3; 95% CI, 1.02-5.28; P = .045) were independently associated with lower rates of sustained clinical improvement.\nCONCLUSIONS: Endovascular therapy of CFA obstruction is associated with high rates of sustained clinical success in claudicants with patent femoropopliteal outflow. Presence of ischemic skin ulcers and diabetes mellitus, however, are associated with impaired efficacy of endovascular CFA treatment.","DOI":"10.1016/j.jvs.2010.10.076","ISSN":"1097-6809","note":"00041 \nPMID: 21215567","journalAbbreviation":"J. Vasc. Surg.","language":"eng","author":[{"family":"Baumann","given":"Frederic"},{"family":"Ruch","given":"Mirka"},{"family":"Willenberg","given":"Torsten"},{"family":"Dick","given":"Florian"},{"family":"Do","given":"Dai-Do"},{"family":"Keo","given":"Hak-Hong"},{"family":"Baumgartner","given":"Iris"},{"family":"Diehm","given":"Nicolas"}],"issued":{"date-parts":[["2011",4]]}}},{"id":1264,"uris":["http://zotero.org/users/2385806/items/NZ2TB74D"],"uri":["http://zotero.org/users/2385806/items/NZ2TB74D"],"itemData":{"id":1264,"type":"article-journal","title":"Acute and medium-term outcomes of endovascular therapy of obstructive disease of diverse etiology of the common femoral artery","container-title":"Catheterization and Cardiovascular Interventions: Official Journal of the Society for Cardiac Angiography &amp; Interventions","page":"1013-1022","volume":"81","issue":"6","source":"PubMed","abstract":"BACKGROUND: Common femoral endarterectomy is regarded as the standard revascularization strategy for the treatment of common femoral artery (CFA) disease. The availability of a variety of endovascular tools has resulted in an increased number of patients with CFA disease being treated using an endovascular strategy. We sought to evaluate clinical outcomes in a contemporary series of patients who were treated for CFA disease using an endovascular-first approach.\nMETHODS: All patients with obstructive CFA disease who were treated using endovascular therapy were retrospectively identified from a peripheral interventional database. Baseline patient characteristics, anatomic details, procedural data, and clinical outcomes were assessed. Kaplan-Meier (KM) curves for mortality, amputation-free survival, and primary and secondary patency were generated.\nRESULTS: Between 2006 and 2011, a total of 30 patients underwent 31 CFA procedures. The primary etiologies of CFA obstruction were atherosclerosis (58%), access-site-related complication (32%), and thromboembolism (10%). Patients presented with severe claudication (60%), critical limb ischemia (13%), or acute limb ischemia (27%). The procedure was technically successful in 90% of cases with major complications in two (7%) patients. There was no procedure-related mortality. The KM estimate of survival and amputation-free survival at 1 year was 96% (± 4%) and 96% (± 4%), respectively. In those patients who had a successful revascularization, the overall 1-year estimate for primary and secondary patency was 88% (± 6) and 92% (± 5%), respectively. There was a nonsignificant trend toward lower patency in patients treated for atherosclerotic disease compared to those with access-site-related complications and thromboembolic disease at 2-year follow-up (76 vs. 100%, P = 0.08).\nCONCLUSIONS: Endovascular therapy for treatment of obstructive disease of the CFA is associated with a high rate of acute technical success. Primary patency rates in the cohort treated for access-site-related complications and thromboembolic disease are excellent and support an endovascular-first approach for this patient subset. Based on lower patency rates, surgical endarterectomy for the treatment of atherosclerotic disease in the CFA remains the gold standard in patients with normal surgical risk.","DOI":"10.1002/ccd.24475","ISSN":"1522-726X","note":"00020 \nPMID: 22581757","journalAbbreviation":"Catheter Cardiovasc Interv","language":"eng","author":[{"family":"Dattilo","given":"Philip B."},{"family":"Tsai","given":"Thomas T."},{"family":"Kevin Rogers","given":"R."},{"family":"Casserly","given":"Ivan P."}],"issued":{"date-parts":[["2013",5]]}}},{"id":1249,"uris":["http://zotero.org/users/2385806/items/QPSZJ94F"],"uri":["http://zotero.org/users/2385806/items/QPSZJ94F"],"itemData":{"id":1249,"type":"article-journal","title":"Percutaneous revascularization of the common femoral artery for limb ischemia","container-title":"Catheterization and Cardiovascular Interventions: Official Journal of the Society for Cardiac Angiography &amp; Interventions","page":"230-233","volume":"62","issue":"2","source":"PubMed","abstract":"We performed percutaneous transluminal intervention in 20 consecutive patients (21 limbs) with common femoral artery (CFA) lesions causing symptomatic limb ischemia. In 12 limbs, concurrent additional percutaneous intervention proximal or distal to the target CFA lesion was performed. Angiographic success was obtained in 100%, with procedural success (angiographic success without a major in-hospital complications) in 90% and clinical success (procedural success and in-hospital improvement by at least one Fontaine functional class) in 81% of the limbs. The in-hospital Fontaine class improved by at least one functional class in 17 of 19 patients (89%), and the overall in-hospital event-free survival was 90% (18 of 20 patients). At follow-up (11.4 +/- 6 months), the overall event-free survival was 90% (18 of 20 patients) and 17 of 19 patients (89%) continue to show improvement by at least one functional (Fontaine) class. Percutaneous intervention of the CFA can be performed with a rate of high technical success and a low complication rate. It provides excellent clinical results at mid-term follow-up and appears to be a reasonable alternative to surgical therapy in patients at high risk for surgery.","DOI":"10.1002/ccd.20035","ISSN":"1522-1946","note":"00055 \nPMID: 15170717","journalAbbreviation":"Catheter Cardiovasc Interv","language":"eng","author":[{"family":"Silva","given":"Jose A."},{"family":"White","given":"Christopher J."},{"family":"Quintana","given":"Hugo"},{"family":"Collins","given":"Tyrone J."},{"family":"Jenkins","given":"J. Stephen"},{"family":"Ramee","given":"Stephen R."}],"issued":{"date-parts":[["2004",6]]}}}],"schema":"https://github.com/citation-style-language/schema/raw/master/csl-citation.json"} </w:instrText>
      </w:r>
      <w:r w:rsidR="005D7257" w:rsidRPr="00CD1A30">
        <w:rPr>
          <w:rFonts w:ascii="Times New Roman" w:hAnsi="Times New Roman" w:cs="Times New Roman"/>
          <w:lang w:val="en-GB"/>
        </w:rPr>
        <w:fldChar w:fldCharType="separate"/>
      </w:r>
      <w:r w:rsidR="005D7257" w:rsidRPr="00CD1A30">
        <w:rPr>
          <w:rFonts w:ascii="Times New Roman" w:hAnsi="Times New Roman" w:cs="Times New Roman"/>
          <w:lang w:val="en-US"/>
        </w:rPr>
        <w:t>(2,3)</w:t>
      </w:r>
      <w:r w:rsidR="005D7257" w:rsidRPr="00CD1A30">
        <w:rPr>
          <w:rFonts w:ascii="Times New Roman" w:hAnsi="Times New Roman" w:cs="Times New Roman"/>
          <w:lang w:val="en-GB"/>
        </w:rPr>
        <w:fldChar w:fldCharType="end"/>
      </w:r>
      <w:r w:rsidR="005D7257" w:rsidRPr="00CD1A30">
        <w:rPr>
          <w:rFonts w:ascii="Times New Roman" w:hAnsi="Times New Roman" w:cs="Times New Roman"/>
          <w:lang w:val="en-GB"/>
        </w:rPr>
        <w:t xml:space="preserve">. Stenting was comparable with open surgery at mid-term in term of clinical, morphological and hemodynamic outcomes with a significantly lower morbidity and mortality within 30-days </w:t>
      </w:r>
      <w:r w:rsidR="005D7257" w:rsidRPr="00CD1A30">
        <w:rPr>
          <w:rFonts w:ascii="Times New Roman" w:hAnsi="Times New Roman" w:cs="Times New Roman"/>
          <w:lang w:val="en-GB"/>
        </w:rPr>
        <w:fldChar w:fldCharType="begin"/>
      </w:r>
      <w:r w:rsidR="005D7257" w:rsidRPr="00CD1A30">
        <w:rPr>
          <w:rFonts w:ascii="Times New Roman" w:hAnsi="Times New Roman" w:cs="Times New Roman"/>
          <w:lang w:val="en-GB"/>
        </w:rPr>
        <w:instrText xml:space="preserve"> ADDIN ZOTERO_ITEM CSL_CITATION {"citationID":"2oqg8qjh57","properties":{"formattedCitation":"(1,8)","plainCitation":"(1,8)"},"citationItems":[{"id":1211,"uris":["http://zotero.org/users/2385806/items/MMZ657SU"],"uri":["http://zotero.org/users/2385806/items/MMZ657SU"],"itemData":{"id":1211,"type":"article-journal","title":"Stenting or Surgery for De Novo Common Femoral Artery Stenosis","container-title":"JACC. Cardiovascular interventions","page":"1344-1354","volume":"10","issue":"13","source":"PubMed","abstract":"OBJECTIVES: The TECCO (Traitement des Lésions Athéromateuses de l'Artère Fémorale Commune par Technique Endovasculaire Versus Chirurgie Ouverte [Endovascular Versus Open Repair of the Common Femoral Artery]) trial is a randomized comparison of safety and efficacy of stenting versus open surgery for de novo common femoral artery (CFA) stenosis.\nBACKGROUND: Surgery for CFA lesions is considered effective and durable. Despite the widespread use of endovascular repair for infrainguinal disease, the value of this procedure for such lesions is uncertain.\nMETHODS: From February 23, 2011, to September 5, 2013, a total of 117 patients with de novo atherosclerotic lesions of the CFA were randomly assigned to undergo surgery (n = 61) or stenting (n = 56). The main exclusion criteria were asymptomatic disease, restenosis, and thrombosis of the CFA. The primary outcome was the morbidity and mortality rate within 30 days. This includes any general complications or local complications that caused or prolonged hospitalization and/or re-intervention, lymphorrhea of more than 3 days, and post-operative paresthesia that required drugs. The median duration of follow-up was 2 years (interquartile range [IQR]: 19.8 to 24.9 years).\nRESULTS: Primary outcome events occurred in 16 of 61 patients (26%) in the surgery group and 7 of 56 patients (12.5%) in the stenting group (odds ratio: 2.5; 95% confidence interval: 0.9 to 6.6; p = 0.05). The mean duration of hospitalization was significantly lower in the stenting group (3.2 ± 2.9 days vs. 6.3 ± 3 days; p &lt; 0.0001). At 24 months, the sustained clinical improvement, the primary patency rate, and the target lesion and extremity revascularization rates were not different in the 2 groups.\nCONCLUSIONS: In patients with de novo atherosclerotic lesions of the CFA, the perioperative morbidity and mortality rate was significantly lower among patients who underwent endovascular therapy by stenting compared with surgery, whereas clinical, morphological, and hemodynamic outcomes were comparable at mid-term. (Traitement des Lésions Athéromateuses de l'Artère Fémorale Commune par Technique Endovasculaire Versus Chirurgie Ouverte [Endovascular Versus Open Repair of the Common Femoral Artery] [TECCO]; NCT01353651).","DOI":"10.1016/j.jcin.2017.03.046","ISSN":"1876-7605","note":"00001 \nPMID: 28683941","journalAbbreviation":"JACC Cardiovasc Interv","language":"eng","author":[{"family":"Gouëffic","given":"Yann"},{"family":"Della Schiava","given":"Nellie"},{"family":"Thaveau","given":"Fabien"},{"family":"Rosset","given":"Eugenio"},{"family":"Favre","given":"Jean-Pierre"},{"family":"Salomon du Mont","given":"Lucie"},{"family":"Alsac","given":"Jean-Marc"},{"family":"Hassen-Khodja","given":"Réda"},{"family":"Reix","given":"Thierry"},{"family":"Allaire","given":"Eric"},{"family":"Ducasse","given":"Eric"},{"family":"Soler","given":"Raphael"},{"family":"Guyomarc'h","given":"Béatrice"},{"family":"Nasr","given":"Bahaa"}],"issued":{"date-parts":[["2017",7,10]]}}},{"id":1262,"uris":["http://zotero.org/users/2385806/items/577X2S3K"],"uri":["http://zotero.org/users/2385806/items/577X2S3K"],"itemData":{"id":1262,"type":"article-journal","title":"Bioabsorbable stent implantation vs. common femoral artery endarterectomy: early results of a randomized trial","container-title":"Journal of Endovascular Therapy: An Official Journal of the International Society of Endovascular Specialists","page":"493-502","volume":"21","issue":"4","source":"PubMed","abstract":"PURPOSE: To compare clinical and hemodynamic outcome in patients undergoing treatment of common femoral artery (CFA) atherosclerotic lesions by bioabsorbable stent implantation (BASI group) or by common femoral artery endarterectomy (CFE group).\nMETHODS: A randomized, controlled, single-center, open-label trial was initiated to compare outcomes of BASI or CFE in patients with chronic atherosclerotic occlusive lesions in the CFA. From May 2011 to April 2013, 116 consecutive patients were recruited; after excluding 36 patients, 80 patients (52 men; mean age 72.2±9.6 years) were enrolled 1:1 and are the subject of this intention-to-treat interim analysis (40 patients in each group). The primary endpoint was surgical site infections; secondary outcome measures were technical success, hemodynamic improvement, clinical improvement, patency, limb salvage, and survival.\nRESULTS: There was no statistically significant difference between both groups regarding demographic data, cardiovascular risk factors, or CFA occlusions. The CFE patients presented with 7 surgical site infections (all minor) vs. none in the BASI group (p=0.002) and a longer mean postoperative hospital stay of 7 vs. 2 days for BASI patients (p&lt;0.001). Technical success rates were 97.5% and 100% for the BASI and CFE groups, respectively. Postoperative ankle-brachial index means were comparable (p=0.38). The 30-day primary patency rates were 92.5% and 100% for the BASI and CFE groups, respectively (p=0.038). There were 6 reconstruction failures in CFE patients vs. none in the BASI group (p=0.02); 5 failures involved initial CFA occlusions. At 1 year, the primary and secondary patency rates were 80% vs. 100% (p=0.007) and 84% vs. 100% (p=0.01) for BASI and CFE patients, respectively. Limb salvage was equivalent, and survival rates were 88% and 90% for BASI vs. CFE patients (p=0.51) at 1 year.\nCONCLUSION: This interim analysis suggests that BASI is not an option for CFA occlusion and is only a limited option for CFA stenosis. Clinical and hemodynamic results are comparable for BASI and CFE. An increased rate of redo procedures in the BASI patients outweighs lower surgical site infection rates compared to CFE. Short-term patency rates are significantly worse in patients undergoing CFA stenting with BASI.","DOI":"10.1583/14-4699R.1","ISSN":"1545-1550","note":"00021 \nPMID: 25101576","shortTitle":"Bioabsorbable stent implantation vs. common femoral artery endarterectomy","journalAbbreviation":"J. Endovasc. Ther.","language":"eng","author":[{"family":"Linni","given":"Klaus"},{"family":"Ugurluoglu","given":"Ara"},{"family":"Hitzl","given":"Wolfgang"},{"family":"Aspalter","given":"Manuela"},{"family":"Hölzenbein","given":"Thomas"}],"issued":{"date-parts":[["2014",8]]}}}],"schema":"https://github.com/citation-style-language/schema/raw/master/csl-citation.json"} </w:instrText>
      </w:r>
      <w:r w:rsidR="005D7257" w:rsidRPr="00CD1A30">
        <w:rPr>
          <w:rFonts w:ascii="Times New Roman" w:hAnsi="Times New Roman" w:cs="Times New Roman"/>
          <w:lang w:val="en-GB"/>
        </w:rPr>
        <w:fldChar w:fldCharType="separate"/>
      </w:r>
      <w:r w:rsidR="00111850" w:rsidRPr="00CD1A30">
        <w:rPr>
          <w:rFonts w:ascii="Times New Roman" w:hAnsi="Times New Roman" w:cs="Times New Roman"/>
          <w:lang w:val="en-US"/>
        </w:rPr>
        <w:t>(2</w:t>
      </w:r>
      <w:r w:rsidR="005D7257" w:rsidRPr="00CD1A30">
        <w:rPr>
          <w:rFonts w:ascii="Times New Roman" w:hAnsi="Times New Roman" w:cs="Times New Roman"/>
          <w:lang w:val="en-US"/>
        </w:rPr>
        <w:t>)</w:t>
      </w:r>
      <w:r w:rsidR="005D7257" w:rsidRPr="00CD1A30">
        <w:rPr>
          <w:rFonts w:ascii="Times New Roman" w:hAnsi="Times New Roman" w:cs="Times New Roman"/>
          <w:lang w:val="en-GB"/>
        </w:rPr>
        <w:fldChar w:fldCharType="end"/>
      </w:r>
      <w:r w:rsidR="005D7257" w:rsidRPr="00CD1A30">
        <w:rPr>
          <w:rFonts w:ascii="Times New Roman" w:hAnsi="Times New Roman" w:cs="Times New Roman"/>
          <w:lang w:val="en-GB"/>
        </w:rPr>
        <w:t xml:space="preserve">. </w:t>
      </w:r>
      <w:r w:rsidR="00E02E49" w:rsidRPr="00CD1A30">
        <w:rPr>
          <w:rFonts w:ascii="Times New Roman" w:hAnsi="Times New Roman" w:cs="Times New Roman"/>
          <w:bCs/>
          <w:lang w:val="en-GB"/>
        </w:rPr>
        <w:t xml:space="preserve">However, the CFA is considered to be the subject of high mechanical stress due to the proximity of the hip joint. </w:t>
      </w:r>
      <w:r w:rsidR="009D227C" w:rsidRPr="00CD1A30">
        <w:rPr>
          <w:rFonts w:ascii="Times New Roman" w:hAnsi="Times New Roman" w:cs="Times New Roman"/>
          <w:bCs/>
          <w:lang w:val="en-GB"/>
        </w:rPr>
        <w:t xml:space="preserve">Some authors argue against the use of bare metal stents because of the risk of stent fracture. </w:t>
      </w:r>
      <w:r w:rsidRPr="00CD1A30">
        <w:rPr>
          <w:rFonts w:ascii="Times New Roman" w:hAnsi="Times New Roman" w:cs="Times New Roman"/>
          <w:lang w:val="en-US"/>
        </w:rPr>
        <w:t>Recent reports highlighted the feasibility of advanced endovascular therapy options</w:t>
      </w:r>
      <w:r w:rsidR="0049567A" w:rsidRPr="00CD1A30">
        <w:rPr>
          <w:rFonts w:ascii="Times New Roman" w:hAnsi="Times New Roman" w:cs="Times New Roman"/>
          <w:lang w:val="en-US"/>
        </w:rPr>
        <w:t xml:space="preserve">, combining </w:t>
      </w:r>
      <w:r w:rsidR="00E02E49" w:rsidRPr="00CD1A30">
        <w:rPr>
          <w:rFonts w:ascii="Times New Roman" w:hAnsi="Times New Roman" w:cs="Times New Roman"/>
          <w:lang w:val="en-US"/>
        </w:rPr>
        <w:t xml:space="preserve">intravascular lithotripsy (IVL) as vessel </w:t>
      </w:r>
      <w:r w:rsidR="0049567A" w:rsidRPr="00CD1A30">
        <w:rPr>
          <w:rFonts w:ascii="Times New Roman" w:hAnsi="Times New Roman" w:cs="Times New Roman"/>
          <w:lang w:val="en-US"/>
        </w:rPr>
        <w:t>preparation and adjunctive use of drug-coated balloon angioplasty (DCB) treatment</w:t>
      </w:r>
      <w:r w:rsidR="005179A8" w:rsidRPr="00CD1A30">
        <w:rPr>
          <w:rFonts w:ascii="Times New Roman" w:hAnsi="Times New Roman" w:cs="Times New Roman"/>
          <w:lang w:val="en-US"/>
        </w:rPr>
        <w:t xml:space="preserve"> (</w:t>
      </w:r>
      <w:r w:rsidR="009D227C" w:rsidRPr="00CD1A30">
        <w:rPr>
          <w:rFonts w:ascii="Times New Roman" w:hAnsi="Times New Roman" w:cs="Times New Roman"/>
          <w:lang w:val="en-US"/>
        </w:rPr>
        <w:t>3</w:t>
      </w:r>
      <w:r w:rsidR="00586CE8" w:rsidRPr="00CD1A30">
        <w:rPr>
          <w:rFonts w:ascii="Times New Roman" w:hAnsi="Times New Roman" w:cs="Times New Roman"/>
          <w:lang w:val="en-US"/>
        </w:rPr>
        <w:t>)</w:t>
      </w:r>
      <w:r w:rsidR="00E02E49" w:rsidRPr="00CD1A30">
        <w:rPr>
          <w:rFonts w:ascii="Times New Roman" w:hAnsi="Times New Roman" w:cs="Times New Roman"/>
          <w:lang w:val="en-US"/>
        </w:rPr>
        <w:t>.</w:t>
      </w:r>
      <w:r w:rsidR="00D5412D" w:rsidRPr="00CD1A30">
        <w:rPr>
          <w:rFonts w:ascii="Times New Roman" w:hAnsi="Times New Roman" w:cs="Times New Roman"/>
          <w:lang w:val="en-US"/>
        </w:rPr>
        <w:t xml:space="preserve"> </w:t>
      </w:r>
      <w:r w:rsidR="00D5412D" w:rsidRPr="00CD1A30">
        <w:rPr>
          <w:rFonts w:ascii="Times New Roman" w:hAnsi="Times New Roman" w:cs="Times New Roman"/>
        </w:rPr>
        <w:t xml:space="preserve">IVL in </w:t>
      </w:r>
      <w:proofErr w:type="spellStart"/>
      <w:r w:rsidR="00D5412D" w:rsidRPr="00CD1A30">
        <w:rPr>
          <w:rFonts w:ascii="Times New Roman" w:hAnsi="Times New Roman" w:cs="Times New Roman"/>
        </w:rPr>
        <w:t>combination</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with</w:t>
      </w:r>
      <w:proofErr w:type="spellEnd"/>
      <w:r w:rsidR="00D5412D" w:rsidRPr="00CD1A30">
        <w:rPr>
          <w:rFonts w:ascii="Times New Roman" w:hAnsi="Times New Roman" w:cs="Times New Roman"/>
        </w:rPr>
        <w:t xml:space="preserve"> DCB </w:t>
      </w:r>
      <w:proofErr w:type="spellStart"/>
      <w:r w:rsidR="00D5412D" w:rsidRPr="00CD1A30">
        <w:rPr>
          <w:rFonts w:ascii="Times New Roman" w:hAnsi="Times New Roman" w:cs="Times New Roman"/>
        </w:rPr>
        <w:t>exhibited</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low</w:t>
      </w:r>
      <w:proofErr w:type="spellEnd"/>
      <w:r w:rsidR="00D5412D" w:rsidRPr="00CD1A30">
        <w:rPr>
          <w:rFonts w:ascii="Times New Roman" w:hAnsi="Times New Roman" w:cs="Times New Roman"/>
        </w:rPr>
        <w:t xml:space="preserve"> rates of stent placement in the CFA </w:t>
      </w:r>
      <w:proofErr w:type="spellStart"/>
      <w:r w:rsidR="00D5412D" w:rsidRPr="00CD1A30">
        <w:rPr>
          <w:rFonts w:ascii="Times New Roman" w:hAnsi="Times New Roman" w:cs="Times New Roman"/>
        </w:rPr>
        <w:t>region</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with</w:t>
      </w:r>
      <w:proofErr w:type="spellEnd"/>
      <w:r w:rsidR="00D5412D" w:rsidRPr="00CD1A30">
        <w:rPr>
          <w:rFonts w:ascii="Times New Roman" w:hAnsi="Times New Roman" w:cs="Times New Roman"/>
        </w:rPr>
        <w:t xml:space="preserve"> acceptable </w:t>
      </w:r>
      <w:proofErr w:type="spellStart"/>
      <w:r w:rsidR="009D227C" w:rsidRPr="00CD1A30">
        <w:rPr>
          <w:rFonts w:ascii="Times New Roman" w:hAnsi="Times New Roman" w:cs="Times New Roman"/>
        </w:rPr>
        <w:t>freedom</w:t>
      </w:r>
      <w:proofErr w:type="spellEnd"/>
      <w:r w:rsidR="009D227C" w:rsidRPr="00CD1A30">
        <w:rPr>
          <w:rFonts w:ascii="Times New Roman" w:hAnsi="Times New Roman" w:cs="Times New Roman"/>
        </w:rPr>
        <w:t xml:space="preserve"> </w:t>
      </w:r>
      <w:proofErr w:type="spellStart"/>
      <w:r w:rsidR="009D227C" w:rsidRPr="00CD1A30">
        <w:rPr>
          <w:rFonts w:ascii="Times New Roman" w:hAnsi="Times New Roman" w:cs="Times New Roman"/>
        </w:rPr>
        <w:t>from</w:t>
      </w:r>
      <w:proofErr w:type="spellEnd"/>
      <w:r w:rsidR="009D227C" w:rsidRPr="00CD1A30">
        <w:rPr>
          <w:rFonts w:ascii="Times New Roman" w:hAnsi="Times New Roman" w:cs="Times New Roman"/>
        </w:rPr>
        <w:t xml:space="preserve"> </w:t>
      </w:r>
      <w:proofErr w:type="spellStart"/>
      <w:r w:rsidR="00D5412D" w:rsidRPr="00CD1A30">
        <w:rPr>
          <w:rFonts w:ascii="Times New Roman" w:hAnsi="Times New Roman" w:cs="Times New Roman"/>
        </w:rPr>
        <w:t>target</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lesi</w:t>
      </w:r>
      <w:r w:rsidR="009D227C" w:rsidRPr="00CD1A30">
        <w:rPr>
          <w:rFonts w:ascii="Times New Roman" w:hAnsi="Times New Roman" w:cs="Times New Roman"/>
        </w:rPr>
        <w:t>on</w:t>
      </w:r>
      <w:proofErr w:type="spellEnd"/>
      <w:r w:rsidR="009D227C" w:rsidRPr="00CD1A30">
        <w:rPr>
          <w:rFonts w:ascii="Times New Roman" w:hAnsi="Times New Roman" w:cs="Times New Roman"/>
        </w:rPr>
        <w:t xml:space="preserve"> </w:t>
      </w:r>
      <w:proofErr w:type="spellStart"/>
      <w:r w:rsidR="009D227C" w:rsidRPr="00CD1A30">
        <w:rPr>
          <w:rFonts w:ascii="Times New Roman" w:hAnsi="Times New Roman" w:cs="Times New Roman"/>
        </w:rPr>
        <w:t>revascularization</w:t>
      </w:r>
      <w:proofErr w:type="spellEnd"/>
      <w:r w:rsidR="009D227C" w:rsidRPr="00CD1A30">
        <w:rPr>
          <w:rFonts w:ascii="Times New Roman" w:hAnsi="Times New Roman" w:cs="Times New Roman"/>
        </w:rPr>
        <w:t xml:space="preserve"> (TLR) rate of 94</w:t>
      </w:r>
      <w:r w:rsidR="00D5412D" w:rsidRPr="00CD1A30">
        <w:rPr>
          <w:rFonts w:ascii="Times New Roman" w:hAnsi="Times New Roman" w:cs="Times New Roman"/>
        </w:rPr>
        <w:t xml:space="preserve">% </w:t>
      </w:r>
      <w:r w:rsidR="009D227C" w:rsidRPr="00CD1A30">
        <w:rPr>
          <w:rFonts w:ascii="Times New Roman" w:hAnsi="Times New Roman" w:cs="Times New Roman"/>
        </w:rPr>
        <w:t>(3)</w:t>
      </w:r>
      <w:r w:rsidR="00D5412D" w:rsidRPr="00CD1A30">
        <w:rPr>
          <w:rFonts w:ascii="Times New Roman" w:hAnsi="Times New Roman" w:cs="Times New Roman"/>
        </w:rPr>
        <w:t xml:space="preserve">. This </w:t>
      </w:r>
      <w:proofErr w:type="spellStart"/>
      <w:r w:rsidR="00D5412D" w:rsidRPr="00CD1A30">
        <w:rPr>
          <w:rFonts w:ascii="Times New Roman" w:hAnsi="Times New Roman" w:cs="Times New Roman"/>
        </w:rPr>
        <w:t>is</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particularly</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promising</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since</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this</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strategy</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convoys</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with</w:t>
      </w:r>
      <w:proofErr w:type="spellEnd"/>
      <w:r w:rsidR="00D5412D" w:rsidRPr="00CD1A30">
        <w:rPr>
          <w:rFonts w:ascii="Times New Roman" w:hAnsi="Times New Roman" w:cs="Times New Roman"/>
        </w:rPr>
        <w:t xml:space="preserve"> the </w:t>
      </w:r>
      <w:proofErr w:type="spellStart"/>
      <w:r w:rsidR="00D5412D" w:rsidRPr="00CD1A30">
        <w:rPr>
          <w:rFonts w:ascii="Times New Roman" w:hAnsi="Times New Roman" w:cs="Times New Roman"/>
        </w:rPr>
        <w:t>leave</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nothing</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behind</w:t>
      </w:r>
      <w:proofErr w:type="spellEnd"/>
      <w:r w:rsidR="00D5412D" w:rsidRPr="00CD1A30">
        <w:rPr>
          <w:rFonts w:ascii="Times New Roman" w:hAnsi="Times New Roman" w:cs="Times New Roman"/>
        </w:rPr>
        <w:t xml:space="preserve"> notion, in a </w:t>
      </w:r>
      <w:proofErr w:type="spellStart"/>
      <w:r w:rsidR="00D5412D" w:rsidRPr="00CD1A30">
        <w:rPr>
          <w:rFonts w:ascii="Times New Roman" w:hAnsi="Times New Roman" w:cs="Times New Roman"/>
        </w:rPr>
        <w:t>partially</w:t>
      </w:r>
      <w:proofErr w:type="spellEnd"/>
      <w:r w:rsidR="00D5412D" w:rsidRPr="00CD1A30">
        <w:rPr>
          <w:rFonts w:ascii="Times New Roman" w:hAnsi="Times New Roman" w:cs="Times New Roman"/>
        </w:rPr>
        <w:t xml:space="preserve"> </w:t>
      </w:r>
      <w:proofErr w:type="spellStart"/>
      <w:r w:rsidR="00D5412D" w:rsidRPr="00CD1A30">
        <w:rPr>
          <w:rFonts w:ascii="Times New Roman" w:hAnsi="Times New Roman" w:cs="Times New Roman"/>
        </w:rPr>
        <w:t>moving</w:t>
      </w:r>
      <w:proofErr w:type="spellEnd"/>
      <w:r w:rsidR="00D5412D" w:rsidRPr="00CD1A30">
        <w:rPr>
          <w:rFonts w:ascii="Times New Roman" w:hAnsi="Times New Roman" w:cs="Times New Roman"/>
        </w:rPr>
        <w:t xml:space="preserve"> ‘no stent zone’. </w:t>
      </w:r>
    </w:p>
    <w:p w14:paraId="0452D5E3" w14:textId="77777777" w:rsidR="00455D7B" w:rsidRPr="00CD1A30" w:rsidRDefault="00455D7B" w:rsidP="00455D7B">
      <w:pPr>
        <w:shd w:val="clear" w:color="auto" w:fill="FFFFFF" w:themeFill="background1"/>
        <w:ind w:firstLine="720"/>
        <w:jc w:val="both"/>
        <w:rPr>
          <w:noProof/>
          <w:szCs w:val="24"/>
        </w:rPr>
      </w:pPr>
    </w:p>
    <w:p w14:paraId="47715F9D" w14:textId="77777777" w:rsidR="00455D7B" w:rsidRPr="00CD1A30" w:rsidRDefault="00455D7B" w:rsidP="00455D7B">
      <w:pPr>
        <w:shd w:val="clear" w:color="auto" w:fill="FFFFFF" w:themeFill="background1"/>
        <w:jc w:val="both"/>
        <w:rPr>
          <w:noProof/>
          <w:szCs w:val="24"/>
        </w:rPr>
      </w:pPr>
    </w:p>
    <w:p w14:paraId="097E3D8B" w14:textId="527BFF9D" w:rsidR="00455D7B" w:rsidRPr="00CD1A30" w:rsidRDefault="00D5412D" w:rsidP="00455D7B">
      <w:pPr>
        <w:shd w:val="clear" w:color="auto" w:fill="FFFFFF" w:themeFill="background1"/>
        <w:ind w:firstLine="720"/>
        <w:jc w:val="both"/>
        <w:rPr>
          <w:noProof/>
          <w:szCs w:val="24"/>
        </w:rPr>
      </w:pPr>
      <w:r w:rsidRPr="00CD1A30">
        <w:rPr>
          <w:noProof/>
          <w:szCs w:val="24"/>
        </w:rPr>
        <w:lastRenderedPageBreak/>
        <w:t xml:space="preserve">IVL is a </w:t>
      </w:r>
      <w:r w:rsidRPr="00CD1A30">
        <w:rPr>
          <w:szCs w:val="24"/>
        </w:rPr>
        <w:t>vessel preparation and could be associated with stenting allowing a better “expansion” and apposition of the stent.</w:t>
      </w:r>
      <w:r w:rsidR="00CD1A30" w:rsidRPr="00CD1A30">
        <w:rPr>
          <w:szCs w:val="24"/>
        </w:rPr>
        <w:t xml:space="preserve"> To our knowledge, no data are available to compare the stent-avoiding strategy (SA) and the stent-preferred strategy (SP) after IVL vessel preparation. </w:t>
      </w:r>
    </w:p>
    <w:p w14:paraId="70323B10" w14:textId="77777777" w:rsidR="00FA0EB2" w:rsidRPr="00CD1A30" w:rsidRDefault="00FA0EB2" w:rsidP="00455D7B">
      <w:pPr>
        <w:shd w:val="clear" w:color="auto" w:fill="FFFFFF" w:themeFill="background1"/>
        <w:ind w:firstLine="720"/>
        <w:jc w:val="both"/>
        <w:rPr>
          <w:noProof/>
          <w:szCs w:val="24"/>
        </w:rPr>
      </w:pPr>
    </w:p>
    <w:p w14:paraId="39733AC6" w14:textId="2F3E20E7" w:rsidR="00A01764" w:rsidRPr="00CD1A30" w:rsidRDefault="00455D7B" w:rsidP="000673A2">
      <w:pPr>
        <w:shd w:val="clear" w:color="auto" w:fill="FFFFFF" w:themeFill="background1"/>
        <w:ind w:firstLine="720"/>
        <w:jc w:val="both"/>
        <w:rPr>
          <w:szCs w:val="24"/>
        </w:rPr>
      </w:pPr>
      <w:r w:rsidRPr="00CD1A30">
        <w:rPr>
          <w:b/>
          <w:szCs w:val="24"/>
        </w:rPr>
        <w:t xml:space="preserve">Primary Objectives: </w:t>
      </w:r>
      <w:r w:rsidR="00111850" w:rsidRPr="00CD1A30">
        <w:rPr>
          <w:szCs w:val="24"/>
        </w:rPr>
        <w:t>The SAVE-CFA</w:t>
      </w:r>
      <w:r w:rsidR="000673A2" w:rsidRPr="00CD1A30">
        <w:rPr>
          <w:szCs w:val="24"/>
        </w:rPr>
        <w:t xml:space="preserve"> study aimed to evaluate patency rates in CFA lesions comparing the efficacy and safety of </w:t>
      </w:r>
      <w:r w:rsidR="000673A2" w:rsidRPr="00CD1A30">
        <w:rPr>
          <w:noProof/>
          <w:szCs w:val="24"/>
        </w:rPr>
        <w:t xml:space="preserve">stent-avoiding (SA) strategy and stent-preferred (SP) strategy after lesion preparation with IVL. </w:t>
      </w:r>
    </w:p>
    <w:p w14:paraId="19ED3981" w14:textId="77777777" w:rsidR="00455D7B" w:rsidRPr="00CD1A30" w:rsidRDefault="00455D7B" w:rsidP="00455D7B">
      <w:pPr>
        <w:shd w:val="clear" w:color="auto" w:fill="FFFFFF" w:themeFill="background1"/>
        <w:ind w:firstLine="720"/>
        <w:jc w:val="both"/>
        <w:rPr>
          <w:szCs w:val="24"/>
        </w:rPr>
      </w:pPr>
      <w:r w:rsidRPr="00CD1A30">
        <w:rPr>
          <w:szCs w:val="24"/>
        </w:rPr>
        <w:t>In addition, outcomes including improvement in terms of Rutherford category, target lesion revascularization, minor and major amputation will be systematically analyzed in all patients.</w:t>
      </w:r>
    </w:p>
    <w:p w14:paraId="3CC3C19C" w14:textId="77777777" w:rsidR="00455D7B" w:rsidRPr="00CD1A30" w:rsidRDefault="00455D7B" w:rsidP="00455D7B">
      <w:pPr>
        <w:jc w:val="both"/>
        <w:rPr>
          <w:szCs w:val="24"/>
        </w:rPr>
      </w:pPr>
    </w:p>
    <w:p w14:paraId="3CE75CE8" w14:textId="04F09B04" w:rsidR="00455D7B" w:rsidRPr="00CD1A30" w:rsidRDefault="00455D7B" w:rsidP="00455D7B">
      <w:pPr>
        <w:ind w:firstLine="708"/>
        <w:rPr>
          <w:szCs w:val="24"/>
        </w:rPr>
      </w:pPr>
      <w:r w:rsidRPr="00CD1A30">
        <w:rPr>
          <w:b/>
          <w:szCs w:val="24"/>
        </w:rPr>
        <w:t>Study design</w:t>
      </w:r>
      <w:r w:rsidRPr="00CD1A30">
        <w:rPr>
          <w:szCs w:val="24"/>
        </w:rPr>
        <w:t xml:space="preserve">: </w:t>
      </w:r>
      <w:r w:rsidR="00960BD3" w:rsidRPr="00CD1A30">
        <w:rPr>
          <w:szCs w:val="24"/>
        </w:rPr>
        <w:t>Multi-center, r</w:t>
      </w:r>
      <w:r w:rsidRPr="00CD1A30">
        <w:rPr>
          <w:szCs w:val="24"/>
        </w:rPr>
        <w:t xml:space="preserve">etrospective </w:t>
      </w:r>
      <w:r w:rsidR="000673A2" w:rsidRPr="00CD1A30">
        <w:rPr>
          <w:szCs w:val="24"/>
        </w:rPr>
        <w:t>comparative</w:t>
      </w:r>
      <w:r w:rsidRPr="00CD1A30">
        <w:rPr>
          <w:szCs w:val="24"/>
        </w:rPr>
        <w:t xml:space="preserve"> study.</w:t>
      </w:r>
    </w:p>
    <w:p w14:paraId="12E404F4" w14:textId="77777777" w:rsidR="00455D7B" w:rsidRPr="00CD1A30" w:rsidRDefault="00455D7B" w:rsidP="00455D7B">
      <w:pPr>
        <w:autoSpaceDE w:val="0"/>
        <w:autoSpaceDN w:val="0"/>
        <w:adjustRightInd w:val="0"/>
        <w:rPr>
          <w:szCs w:val="24"/>
        </w:rPr>
      </w:pPr>
    </w:p>
    <w:p w14:paraId="509EC1DB" w14:textId="6C210737" w:rsidR="00455D7B" w:rsidRPr="00CD1A30" w:rsidRDefault="00455D7B" w:rsidP="000673A2">
      <w:pPr>
        <w:autoSpaceDE w:val="0"/>
        <w:autoSpaceDN w:val="0"/>
        <w:adjustRightInd w:val="0"/>
        <w:ind w:left="720"/>
        <w:rPr>
          <w:rStyle w:val="mw-headline"/>
          <w:szCs w:val="24"/>
        </w:rPr>
      </w:pPr>
      <w:r w:rsidRPr="00CD1A30">
        <w:rPr>
          <w:b/>
          <w:szCs w:val="24"/>
        </w:rPr>
        <w:t xml:space="preserve">Study population: </w:t>
      </w:r>
      <w:r w:rsidRPr="00CD1A30">
        <w:rPr>
          <w:szCs w:val="24"/>
        </w:rPr>
        <w:t>All comers</w:t>
      </w:r>
      <w:r w:rsidRPr="00CD1A30">
        <w:rPr>
          <w:b/>
          <w:szCs w:val="24"/>
        </w:rPr>
        <w:t xml:space="preserve"> </w:t>
      </w:r>
      <w:r w:rsidR="000673A2" w:rsidRPr="00CD1A30">
        <w:rPr>
          <w:szCs w:val="24"/>
        </w:rPr>
        <w:t>&gt;18 years with symptomatic CFA lesion treated with IVL and DCB or stenting</w:t>
      </w:r>
    </w:p>
    <w:p w14:paraId="757FD7C1" w14:textId="77777777" w:rsidR="00455D7B" w:rsidRPr="00CD1A30" w:rsidRDefault="00455D7B" w:rsidP="00455D7B">
      <w:pPr>
        <w:autoSpaceDE w:val="0"/>
        <w:autoSpaceDN w:val="0"/>
        <w:adjustRightInd w:val="0"/>
        <w:rPr>
          <w:rStyle w:val="mw-headline"/>
          <w:szCs w:val="24"/>
        </w:rPr>
      </w:pPr>
    </w:p>
    <w:p w14:paraId="44850837" w14:textId="52F2ED35" w:rsidR="00455D7B" w:rsidRPr="00CD1A30" w:rsidRDefault="000673A2" w:rsidP="00455D7B">
      <w:pPr>
        <w:autoSpaceDE w:val="0"/>
        <w:autoSpaceDN w:val="0"/>
        <w:adjustRightInd w:val="0"/>
        <w:ind w:firstLine="708"/>
        <w:jc w:val="both"/>
        <w:rPr>
          <w:b/>
          <w:szCs w:val="24"/>
        </w:rPr>
      </w:pPr>
      <w:r w:rsidRPr="00CD1A30">
        <w:rPr>
          <w:b/>
          <w:szCs w:val="24"/>
        </w:rPr>
        <w:t>Inclusion criteria</w:t>
      </w:r>
      <w:r w:rsidR="00455D7B" w:rsidRPr="00CD1A30">
        <w:rPr>
          <w:b/>
          <w:szCs w:val="24"/>
        </w:rPr>
        <w:t>:</w:t>
      </w:r>
    </w:p>
    <w:p w14:paraId="3E98FE9F" w14:textId="77777777" w:rsidR="00455D7B" w:rsidRPr="00CD1A30" w:rsidRDefault="00455D7B" w:rsidP="00455D7B">
      <w:pPr>
        <w:pStyle w:val="Paragraphedeliste"/>
        <w:numPr>
          <w:ilvl w:val="0"/>
          <w:numId w:val="6"/>
        </w:numPr>
        <w:autoSpaceDE w:val="0"/>
        <w:autoSpaceDN w:val="0"/>
        <w:adjustRightInd w:val="0"/>
        <w:ind w:left="1068"/>
        <w:jc w:val="both"/>
        <w:rPr>
          <w:szCs w:val="24"/>
        </w:rPr>
      </w:pPr>
      <w:r w:rsidRPr="00CD1A30">
        <w:rPr>
          <w:szCs w:val="24"/>
        </w:rPr>
        <w:t>Waived informed consent.</w:t>
      </w:r>
    </w:p>
    <w:p w14:paraId="5FB72DB8" w14:textId="29981100" w:rsidR="000673A2" w:rsidRPr="00CD1A30" w:rsidRDefault="000673A2" w:rsidP="000673A2">
      <w:pPr>
        <w:pStyle w:val="Paragraphedeliste"/>
        <w:numPr>
          <w:ilvl w:val="0"/>
          <w:numId w:val="6"/>
        </w:numPr>
        <w:autoSpaceDE w:val="0"/>
        <w:autoSpaceDN w:val="0"/>
        <w:adjustRightInd w:val="0"/>
        <w:ind w:left="1068"/>
        <w:jc w:val="both"/>
        <w:rPr>
          <w:szCs w:val="24"/>
        </w:rPr>
      </w:pPr>
      <w:r w:rsidRPr="00CD1A30">
        <w:rPr>
          <w:bCs/>
          <w:szCs w:val="24"/>
          <w:lang w:val="en-GB"/>
        </w:rPr>
        <w:t>De novo atherosclerotic lesion of the CFA (</w:t>
      </w:r>
      <w:proofErr w:type="spellStart"/>
      <w:r w:rsidRPr="00CD1A30">
        <w:rPr>
          <w:bCs/>
          <w:szCs w:val="24"/>
          <w:lang w:val="en-GB"/>
        </w:rPr>
        <w:t>Azema</w:t>
      </w:r>
      <w:proofErr w:type="spellEnd"/>
      <w:r w:rsidRPr="00CD1A30">
        <w:rPr>
          <w:bCs/>
          <w:szCs w:val="24"/>
          <w:lang w:val="en-GB"/>
        </w:rPr>
        <w:t xml:space="preserve"> I, II, or III lesions)</w:t>
      </w:r>
    </w:p>
    <w:p w14:paraId="62D4371B" w14:textId="5BE98B76" w:rsidR="000673A2" w:rsidRPr="00CD1A30" w:rsidRDefault="000673A2" w:rsidP="000673A2">
      <w:pPr>
        <w:pStyle w:val="Paragraphedeliste"/>
        <w:numPr>
          <w:ilvl w:val="0"/>
          <w:numId w:val="6"/>
        </w:numPr>
        <w:autoSpaceDE w:val="0"/>
        <w:autoSpaceDN w:val="0"/>
        <w:adjustRightInd w:val="0"/>
        <w:ind w:left="1068"/>
        <w:jc w:val="both"/>
        <w:rPr>
          <w:szCs w:val="24"/>
        </w:rPr>
      </w:pPr>
      <w:r w:rsidRPr="00CD1A30">
        <w:rPr>
          <w:bCs/>
          <w:szCs w:val="24"/>
          <w:lang w:val="en-GB"/>
        </w:rPr>
        <w:t>Symptomatic lesions (Rutherford 2 to 6).</w:t>
      </w:r>
    </w:p>
    <w:p w14:paraId="041AD483" w14:textId="77777777" w:rsidR="00455D7B" w:rsidRPr="00CD1A30" w:rsidRDefault="00455D7B" w:rsidP="00455D7B">
      <w:pPr>
        <w:autoSpaceDE w:val="0"/>
        <w:autoSpaceDN w:val="0"/>
        <w:adjustRightInd w:val="0"/>
        <w:rPr>
          <w:szCs w:val="24"/>
        </w:rPr>
      </w:pPr>
    </w:p>
    <w:p w14:paraId="735D313D" w14:textId="4314A430" w:rsidR="00455D7B" w:rsidRPr="00CD1A30" w:rsidRDefault="00455D7B" w:rsidP="00455D7B">
      <w:pPr>
        <w:ind w:firstLine="708"/>
        <w:jc w:val="both"/>
        <w:rPr>
          <w:b/>
          <w:szCs w:val="24"/>
        </w:rPr>
      </w:pPr>
      <w:r w:rsidRPr="00CD1A30">
        <w:rPr>
          <w:b/>
          <w:szCs w:val="24"/>
        </w:rPr>
        <w:t>Outcome m</w:t>
      </w:r>
      <w:r w:rsidR="00511D04" w:rsidRPr="00CD1A30">
        <w:rPr>
          <w:b/>
          <w:szCs w:val="24"/>
        </w:rPr>
        <w:t>easures</w:t>
      </w:r>
      <w:r w:rsidRPr="00CD1A30">
        <w:rPr>
          <w:b/>
          <w:szCs w:val="24"/>
        </w:rPr>
        <w:t xml:space="preserve">: </w:t>
      </w:r>
    </w:p>
    <w:p w14:paraId="42C96F4A" w14:textId="77777777" w:rsidR="00511D04" w:rsidRPr="00CD1A30" w:rsidRDefault="00511D04" w:rsidP="00511D04">
      <w:pPr>
        <w:widowControl w:val="0"/>
        <w:autoSpaceDE w:val="0"/>
        <w:autoSpaceDN w:val="0"/>
        <w:adjustRightInd w:val="0"/>
        <w:rPr>
          <w:rFonts w:eastAsiaTheme="minorHAnsi"/>
          <w:szCs w:val="24"/>
          <w:lang w:val="fr-FR"/>
        </w:rPr>
      </w:pPr>
    </w:p>
    <w:p w14:paraId="057F9C08" w14:textId="358050B8" w:rsidR="00511D04" w:rsidRPr="00CD1A30" w:rsidRDefault="00511D04" w:rsidP="00511D04">
      <w:pPr>
        <w:pStyle w:val="Paragraphedeliste"/>
        <w:widowControl w:val="0"/>
        <w:numPr>
          <w:ilvl w:val="0"/>
          <w:numId w:val="9"/>
        </w:numPr>
        <w:autoSpaceDE w:val="0"/>
        <w:autoSpaceDN w:val="0"/>
        <w:adjustRightInd w:val="0"/>
        <w:rPr>
          <w:rFonts w:eastAsiaTheme="minorHAnsi"/>
          <w:szCs w:val="24"/>
          <w:lang w:val="fr-FR"/>
        </w:rPr>
      </w:pPr>
      <w:r w:rsidRPr="00CD1A30">
        <w:rPr>
          <w:rFonts w:eastAsiaTheme="minorHAnsi"/>
          <w:szCs w:val="24"/>
          <w:lang w:val="fr-FR"/>
        </w:rPr>
        <w:t xml:space="preserve">The </w:t>
      </w:r>
      <w:proofErr w:type="spellStart"/>
      <w:r w:rsidRPr="00CD1A30">
        <w:rPr>
          <w:rFonts w:eastAsiaTheme="minorHAnsi"/>
          <w:szCs w:val="24"/>
          <w:lang w:val="fr-FR"/>
        </w:rPr>
        <w:t>primary</w:t>
      </w:r>
      <w:proofErr w:type="spellEnd"/>
      <w:r w:rsidRPr="00CD1A30">
        <w:rPr>
          <w:rFonts w:eastAsiaTheme="minorHAnsi"/>
          <w:szCs w:val="24"/>
          <w:lang w:val="fr-FR"/>
        </w:rPr>
        <w:t xml:space="preserve"> </w:t>
      </w:r>
      <w:proofErr w:type="spellStart"/>
      <w:r w:rsidRPr="00CD1A30">
        <w:rPr>
          <w:rFonts w:eastAsiaTheme="minorHAnsi"/>
          <w:szCs w:val="24"/>
          <w:lang w:val="fr-FR"/>
        </w:rPr>
        <w:t>efficacy</w:t>
      </w:r>
      <w:proofErr w:type="spellEnd"/>
      <w:r w:rsidRPr="00CD1A30">
        <w:rPr>
          <w:rFonts w:eastAsiaTheme="minorHAnsi"/>
          <w:szCs w:val="24"/>
          <w:lang w:val="fr-FR"/>
        </w:rPr>
        <w:t xml:space="preserve"> </w:t>
      </w:r>
      <w:proofErr w:type="spellStart"/>
      <w:r w:rsidRPr="00CD1A30">
        <w:rPr>
          <w:rFonts w:eastAsiaTheme="minorHAnsi"/>
          <w:szCs w:val="24"/>
          <w:lang w:val="fr-FR"/>
        </w:rPr>
        <w:t>endpoint</w:t>
      </w:r>
      <w:proofErr w:type="spellEnd"/>
      <w:r w:rsidRPr="00CD1A30">
        <w:rPr>
          <w:rFonts w:eastAsiaTheme="minorHAnsi"/>
          <w:szCs w:val="24"/>
          <w:lang w:val="fr-FR"/>
        </w:rPr>
        <w:t xml:space="preserve"> </w:t>
      </w:r>
      <w:proofErr w:type="spellStart"/>
      <w:r w:rsidRPr="00CD1A30">
        <w:rPr>
          <w:rFonts w:eastAsiaTheme="minorHAnsi"/>
          <w:szCs w:val="24"/>
          <w:lang w:val="fr-FR"/>
        </w:rPr>
        <w:t>is</w:t>
      </w:r>
      <w:proofErr w:type="spellEnd"/>
      <w:r w:rsidRPr="00CD1A30">
        <w:rPr>
          <w:rFonts w:eastAsiaTheme="minorHAnsi"/>
          <w:szCs w:val="24"/>
          <w:lang w:val="fr-FR"/>
        </w:rPr>
        <w:t xml:space="preserve"> the </w:t>
      </w:r>
      <w:proofErr w:type="spellStart"/>
      <w:r w:rsidRPr="00CD1A30">
        <w:rPr>
          <w:rFonts w:eastAsiaTheme="minorHAnsi"/>
          <w:szCs w:val="24"/>
          <w:lang w:val="fr-FR"/>
        </w:rPr>
        <w:t>primary</w:t>
      </w:r>
      <w:proofErr w:type="spellEnd"/>
      <w:r w:rsidRPr="00CD1A30">
        <w:rPr>
          <w:rFonts w:eastAsiaTheme="minorHAnsi"/>
          <w:szCs w:val="24"/>
          <w:lang w:val="fr-FR"/>
        </w:rPr>
        <w:t xml:space="preserve"> </w:t>
      </w:r>
      <w:proofErr w:type="spellStart"/>
      <w:r w:rsidRPr="00CD1A30">
        <w:rPr>
          <w:rFonts w:eastAsiaTheme="minorHAnsi"/>
          <w:szCs w:val="24"/>
          <w:lang w:val="fr-FR"/>
        </w:rPr>
        <w:t>patency</w:t>
      </w:r>
      <w:proofErr w:type="spellEnd"/>
      <w:r w:rsidRPr="00CD1A30">
        <w:rPr>
          <w:rFonts w:eastAsiaTheme="minorHAnsi"/>
          <w:szCs w:val="24"/>
          <w:lang w:val="fr-FR"/>
        </w:rPr>
        <w:t xml:space="preserve"> </w:t>
      </w:r>
      <w:proofErr w:type="spellStart"/>
      <w:r w:rsidRPr="00CD1A30">
        <w:rPr>
          <w:rFonts w:eastAsiaTheme="minorHAnsi"/>
          <w:szCs w:val="24"/>
          <w:lang w:val="fr-FR"/>
        </w:rPr>
        <w:t>at</w:t>
      </w:r>
      <w:proofErr w:type="spellEnd"/>
      <w:r w:rsidRPr="00CD1A30">
        <w:rPr>
          <w:rFonts w:eastAsiaTheme="minorHAnsi"/>
          <w:szCs w:val="24"/>
          <w:lang w:val="fr-FR"/>
        </w:rPr>
        <w:t xml:space="preserve"> 12 </w:t>
      </w:r>
      <w:proofErr w:type="spellStart"/>
      <w:r w:rsidRPr="00CD1A30">
        <w:rPr>
          <w:rFonts w:eastAsiaTheme="minorHAnsi"/>
          <w:szCs w:val="24"/>
          <w:lang w:val="fr-FR"/>
        </w:rPr>
        <w:t>months</w:t>
      </w:r>
      <w:proofErr w:type="spellEnd"/>
      <w:r w:rsidRPr="00CD1A30">
        <w:rPr>
          <w:rFonts w:eastAsiaTheme="minorHAnsi"/>
          <w:szCs w:val="24"/>
          <w:lang w:val="fr-FR"/>
        </w:rPr>
        <w:t xml:space="preserve"> </w:t>
      </w:r>
      <w:proofErr w:type="spellStart"/>
      <w:r w:rsidRPr="00CD1A30">
        <w:rPr>
          <w:rFonts w:eastAsiaTheme="minorHAnsi"/>
          <w:szCs w:val="24"/>
          <w:lang w:val="fr-FR"/>
        </w:rPr>
        <w:t>defined</w:t>
      </w:r>
      <w:proofErr w:type="spellEnd"/>
      <w:r w:rsidRPr="00CD1A30">
        <w:rPr>
          <w:rFonts w:eastAsiaTheme="minorHAnsi"/>
          <w:szCs w:val="24"/>
          <w:lang w:val="fr-FR"/>
        </w:rPr>
        <w:t xml:space="preserve"> as the absence of </w:t>
      </w:r>
      <w:proofErr w:type="spellStart"/>
      <w:r w:rsidRPr="00CD1A30">
        <w:rPr>
          <w:rFonts w:eastAsiaTheme="minorHAnsi"/>
          <w:szCs w:val="24"/>
          <w:lang w:val="fr-FR"/>
        </w:rPr>
        <w:t>clinically</w:t>
      </w:r>
      <w:proofErr w:type="spellEnd"/>
      <w:r w:rsidRPr="00CD1A30">
        <w:rPr>
          <w:rFonts w:eastAsiaTheme="minorHAnsi"/>
          <w:szCs w:val="24"/>
          <w:lang w:val="fr-FR"/>
        </w:rPr>
        <w:t xml:space="preserve"> </w:t>
      </w:r>
      <w:proofErr w:type="spellStart"/>
      <w:r w:rsidRPr="00CD1A30">
        <w:rPr>
          <w:rFonts w:eastAsiaTheme="minorHAnsi"/>
          <w:szCs w:val="24"/>
          <w:lang w:val="fr-FR"/>
        </w:rPr>
        <w:t>driven</w:t>
      </w:r>
      <w:proofErr w:type="spellEnd"/>
      <w:r w:rsidRPr="00CD1A30">
        <w:rPr>
          <w:rFonts w:eastAsiaTheme="minorHAnsi"/>
          <w:szCs w:val="24"/>
          <w:lang w:val="fr-FR"/>
        </w:rPr>
        <w:t xml:space="preserve"> </w:t>
      </w:r>
      <w:proofErr w:type="spellStart"/>
      <w:r w:rsidRPr="00CD1A30">
        <w:rPr>
          <w:rFonts w:eastAsiaTheme="minorHAnsi"/>
          <w:szCs w:val="24"/>
          <w:lang w:val="fr-FR"/>
        </w:rPr>
        <w:t>target</w:t>
      </w:r>
      <w:proofErr w:type="spellEnd"/>
      <w:r w:rsidRPr="00CD1A30">
        <w:rPr>
          <w:rFonts w:eastAsiaTheme="minorHAnsi"/>
          <w:szCs w:val="24"/>
          <w:lang w:val="fr-FR"/>
        </w:rPr>
        <w:t xml:space="preserve"> </w:t>
      </w:r>
      <w:proofErr w:type="spellStart"/>
      <w:r w:rsidRPr="00CD1A30">
        <w:rPr>
          <w:rFonts w:eastAsiaTheme="minorHAnsi"/>
          <w:szCs w:val="24"/>
          <w:lang w:val="fr-FR"/>
        </w:rPr>
        <w:t>lesion</w:t>
      </w:r>
      <w:proofErr w:type="spellEnd"/>
      <w:r w:rsidRPr="00CD1A30">
        <w:rPr>
          <w:rFonts w:eastAsiaTheme="minorHAnsi"/>
          <w:szCs w:val="24"/>
          <w:lang w:val="fr-FR"/>
        </w:rPr>
        <w:t xml:space="preserve"> </w:t>
      </w:r>
      <w:proofErr w:type="spellStart"/>
      <w:r w:rsidRPr="00CD1A30">
        <w:rPr>
          <w:rFonts w:eastAsiaTheme="minorHAnsi"/>
          <w:szCs w:val="24"/>
          <w:lang w:val="fr-FR"/>
        </w:rPr>
        <w:t>revascularization</w:t>
      </w:r>
      <w:proofErr w:type="spellEnd"/>
      <w:r w:rsidRPr="00CD1A30">
        <w:rPr>
          <w:rFonts w:eastAsiaTheme="minorHAnsi"/>
          <w:szCs w:val="24"/>
          <w:lang w:val="fr-FR"/>
        </w:rPr>
        <w:t xml:space="preserve"> (CDTLR) or </w:t>
      </w:r>
      <w:proofErr w:type="spellStart"/>
      <w:r w:rsidRPr="00CD1A30">
        <w:rPr>
          <w:rFonts w:eastAsiaTheme="minorHAnsi"/>
          <w:szCs w:val="24"/>
          <w:lang w:val="fr-FR"/>
        </w:rPr>
        <w:t>binary</w:t>
      </w:r>
      <w:proofErr w:type="spellEnd"/>
      <w:r w:rsidRPr="00CD1A30">
        <w:rPr>
          <w:rFonts w:eastAsiaTheme="minorHAnsi"/>
          <w:szCs w:val="24"/>
          <w:lang w:val="fr-FR"/>
        </w:rPr>
        <w:t xml:space="preserve"> </w:t>
      </w:r>
      <w:proofErr w:type="spellStart"/>
      <w:r w:rsidRPr="00CD1A30">
        <w:rPr>
          <w:rFonts w:eastAsiaTheme="minorHAnsi"/>
          <w:szCs w:val="24"/>
          <w:lang w:val="fr-FR"/>
        </w:rPr>
        <w:t>restenosis</w:t>
      </w:r>
      <w:proofErr w:type="spellEnd"/>
      <w:r w:rsidRPr="00CD1A30">
        <w:rPr>
          <w:rFonts w:eastAsiaTheme="minorHAnsi"/>
          <w:szCs w:val="24"/>
          <w:lang w:val="fr-FR"/>
        </w:rPr>
        <w:t xml:space="preserve">. </w:t>
      </w:r>
    </w:p>
    <w:p w14:paraId="0F8B7410" w14:textId="4D90C40A" w:rsidR="00511D04" w:rsidRPr="00CD1A30" w:rsidRDefault="00511D04" w:rsidP="00511D04">
      <w:pPr>
        <w:pStyle w:val="Paragraphedeliste"/>
        <w:widowControl w:val="0"/>
        <w:numPr>
          <w:ilvl w:val="0"/>
          <w:numId w:val="9"/>
        </w:numPr>
        <w:autoSpaceDE w:val="0"/>
        <w:autoSpaceDN w:val="0"/>
        <w:adjustRightInd w:val="0"/>
        <w:rPr>
          <w:rFonts w:eastAsiaTheme="minorHAnsi"/>
          <w:szCs w:val="24"/>
          <w:lang w:val="fr-FR"/>
        </w:rPr>
      </w:pPr>
      <w:r w:rsidRPr="00CD1A30">
        <w:rPr>
          <w:rFonts w:eastAsiaTheme="minorHAnsi"/>
          <w:szCs w:val="24"/>
          <w:lang w:val="fr-FR"/>
        </w:rPr>
        <w:t xml:space="preserve">The </w:t>
      </w:r>
      <w:proofErr w:type="spellStart"/>
      <w:r w:rsidRPr="00CD1A30">
        <w:rPr>
          <w:rFonts w:eastAsiaTheme="minorHAnsi"/>
          <w:szCs w:val="24"/>
          <w:lang w:val="fr-FR"/>
        </w:rPr>
        <w:t>primary</w:t>
      </w:r>
      <w:proofErr w:type="spellEnd"/>
      <w:r w:rsidRPr="00CD1A30">
        <w:rPr>
          <w:rFonts w:eastAsiaTheme="minorHAnsi"/>
          <w:szCs w:val="24"/>
          <w:lang w:val="fr-FR"/>
        </w:rPr>
        <w:t xml:space="preserve"> </w:t>
      </w:r>
      <w:proofErr w:type="spellStart"/>
      <w:r w:rsidRPr="00CD1A30">
        <w:rPr>
          <w:rFonts w:eastAsiaTheme="minorHAnsi"/>
          <w:szCs w:val="24"/>
          <w:lang w:val="fr-FR"/>
        </w:rPr>
        <w:t>safety</w:t>
      </w:r>
      <w:proofErr w:type="spellEnd"/>
      <w:r w:rsidRPr="00CD1A30">
        <w:rPr>
          <w:rFonts w:eastAsiaTheme="minorHAnsi"/>
          <w:szCs w:val="24"/>
          <w:lang w:val="fr-FR"/>
        </w:rPr>
        <w:t xml:space="preserve"> </w:t>
      </w:r>
      <w:proofErr w:type="spellStart"/>
      <w:r w:rsidRPr="00CD1A30">
        <w:rPr>
          <w:rFonts w:eastAsiaTheme="minorHAnsi"/>
          <w:szCs w:val="24"/>
          <w:lang w:val="fr-FR"/>
        </w:rPr>
        <w:t>endpoint</w:t>
      </w:r>
      <w:proofErr w:type="spellEnd"/>
      <w:r w:rsidRPr="00CD1A30">
        <w:rPr>
          <w:rFonts w:eastAsiaTheme="minorHAnsi"/>
          <w:szCs w:val="24"/>
          <w:lang w:val="fr-FR"/>
        </w:rPr>
        <w:t xml:space="preserve"> </w:t>
      </w:r>
      <w:proofErr w:type="spellStart"/>
      <w:r w:rsidRPr="00CD1A30">
        <w:rPr>
          <w:rFonts w:eastAsiaTheme="minorHAnsi"/>
          <w:szCs w:val="24"/>
          <w:lang w:val="fr-FR"/>
        </w:rPr>
        <w:t>was</w:t>
      </w:r>
      <w:proofErr w:type="spellEnd"/>
      <w:r w:rsidRPr="00CD1A30">
        <w:rPr>
          <w:rFonts w:eastAsiaTheme="minorHAnsi"/>
          <w:szCs w:val="24"/>
          <w:lang w:val="fr-FR"/>
        </w:rPr>
        <w:t xml:space="preserve"> a composite of </w:t>
      </w:r>
      <w:proofErr w:type="spellStart"/>
      <w:r w:rsidRPr="00CD1A30">
        <w:rPr>
          <w:rFonts w:eastAsiaTheme="minorHAnsi"/>
          <w:szCs w:val="24"/>
          <w:lang w:val="fr-FR"/>
        </w:rPr>
        <w:t>freedom</w:t>
      </w:r>
      <w:proofErr w:type="spellEnd"/>
      <w:r w:rsidRPr="00CD1A30">
        <w:rPr>
          <w:rFonts w:eastAsiaTheme="minorHAnsi"/>
          <w:szCs w:val="24"/>
          <w:lang w:val="fr-FR"/>
        </w:rPr>
        <w:t xml:space="preserve"> </w:t>
      </w:r>
      <w:proofErr w:type="spellStart"/>
      <w:r w:rsidRPr="00CD1A30">
        <w:rPr>
          <w:rFonts w:eastAsiaTheme="minorHAnsi"/>
          <w:szCs w:val="24"/>
          <w:lang w:val="fr-FR"/>
        </w:rPr>
        <w:t>from</w:t>
      </w:r>
      <w:proofErr w:type="spellEnd"/>
      <w:r w:rsidRPr="00CD1A30">
        <w:rPr>
          <w:rFonts w:eastAsiaTheme="minorHAnsi"/>
          <w:szCs w:val="24"/>
          <w:lang w:val="fr-FR"/>
        </w:rPr>
        <w:t xml:space="preserve"> </w:t>
      </w:r>
      <w:proofErr w:type="spellStart"/>
      <w:r w:rsidRPr="00CD1A30">
        <w:rPr>
          <w:rFonts w:eastAsiaTheme="minorHAnsi"/>
          <w:szCs w:val="24"/>
          <w:lang w:val="fr-FR"/>
        </w:rPr>
        <w:t>device</w:t>
      </w:r>
      <w:proofErr w:type="spellEnd"/>
      <w:r w:rsidRPr="00CD1A30">
        <w:rPr>
          <w:rFonts w:eastAsiaTheme="minorHAnsi"/>
          <w:szCs w:val="24"/>
          <w:lang w:val="fr-FR"/>
        </w:rPr>
        <w:t xml:space="preserve">- and </w:t>
      </w:r>
      <w:proofErr w:type="spellStart"/>
      <w:r w:rsidRPr="00CD1A30">
        <w:rPr>
          <w:rFonts w:eastAsiaTheme="minorHAnsi"/>
          <w:szCs w:val="24"/>
          <w:lang w:val="fr-FR"/>
        </w:rPr>
        <w:t>procedure-related</w:t>
      </w:r>
      <w:proofErr w:type="spellEnd"/>
      <w:r w:rsidRPr="00CD1A30">
        <w:rPr>
          <w:rFonts w:eastAsiaTheme="minorHAnsi"/>
          <w:szCs w:val="24"/>
          <w:lang w:val="fr-FR"/>
        </w:rPr>
        <w:t xml:space="preserve"> </w:t>
      </w:r>
      <w:proofErr w:type="spellStart"/>
      <w:r w:rsidRPr="00CD1A30">
        <w:rPr>
          <w:rFonts w:eastAsiaTheme="minorHAnsi"/>
          <w:szCs w:val="24"/>
          <w:lang w:val="fr-FR"/>
        </w:rPr>
        <w:t>death</w:t>
      </w:r>
      <w:proofErr w:type="spellEnd"/>
      <w:r w:rsidRPr="00CD1A30">
        <w:rPr>
          <w:rFonts w:eastAsiaTheme="minorHAnsi"/>
          <w:szCs w:val="24"/>
          <w:lang w:val="fr-FR"/>
        </w:rPr>
        <w:t xml:space="preserve"> </w:t>
      </w:r>
      <w:proofErr w:type="spellStart"/>
      <w:r w:rsidRPr="00CD1A30">
        <w:rPr>
          <w:rFonts w:eastAsiaTheme="minorHAnsi"/>
          <w:szCs w:val="24"/>
          <w:lang w:val="fr-FR"/>
        </w:rPr>
        <w:t>through</w:t>
      </w:r>
      <w:proofErr w:type="spellEnd"/>
      <w:r w:rsidRPr="00CD1A30">
        <w:rPr>
          <w:rFonts w:eastAsiaTheme="minorHAnsi"/>
          <w:szCs w:val="24"/>
          <w:lang w:val="fr-FR"/>
        </w:rPr>
        <w:t xml:space="preserve"> 30 </w:t>
      </w:r>
      <w:proofErr w:type="spellStart"/>
      <w:r w:rsidRPr="00CD1A30">
        <w:rPr>
          <w:rFonts w:eastAsiaTheme="minorHAnsi"/>
          <w:szCs w:val="24"/>
          <w:lang w:val="fr-FR"/>
        </w:rPr>
        <w:t>days</w:t>
      </w:r>
      <w:proofErr w:type="spellEnd"/>
      <w:r w:rsidRPr="00CD1A30">
        <w:rPr>
          <w:rFonts w:eastAsiaTheme="minorHAnsi"/>
          <w:szCs w:val="24"/>
          <w:lang w:val="fr-FR"/>
        </w:rPr>
        <w:t xml:space="preserve">, </w:t>
      </w:r>
      <w:proofErr w:type="spellStart"/>
      <w:r w:rsidRPr="00CD1A30">
        <w:rPr>
          <w:rFonts w:eastAsiaTheme="minorHAnsi"/>
          <w:szCs w:val="24"/>
          <w:lang w:val="fr-FR"/>
        </w:rPr>
        <w:t>freedom</w:t>
      </w:r>
      <w:proofErr w:type="spellEnd"/>
      <w:r w:rsidRPr="00CD1A30">
        <w:rPr>
          <w:rFonts w:eastAsiaTheme="minorHAnsi"/>
          <w:szCs w:val="24"/>
          <w:lang w:val="fr-FR"/>
        </w:rPr>
        <w:t xml:space="preserve"> </w:t>
      </w:r>
      <w:proofErr w:type="spellStart"/>
      <w:r w:rsidRPr="00CD1A30">
        <w:rPr>
          <w:rFonts w:eastAsiaTheme="minorHAnsi"/>
          <w:szCs w:val="24"/>
          <w:lang w:val="fr-FR"/>
        </w:rPr>
        <w:t>from</w:t>
      </w:r>
      <w:proofErr w:type="spellEnd"/>
      <w:r w:rsidRPr="00CD1A30">
        <w:rPr>
          <w:rFonts w:eastAsiaTheme="minorHAnsi"/>
          <w:szCs w:val="24"/>
          <w:lang w:val="fr-FR"/>
        </w:rPr>
        <w:t xml:space="preserve"> major </w:t>
      </w:r>
      <w:proofErr w:type="spellStart"/>
      <w:r w:rsidRPr="00CD1A30">
        <w:rPr>
          <w:rFonts w:eastAsiaTheme="minorHAnsi"/>
          <w:szCs w:val="24"/>
          <w:lang w:val="fr-FR"/>
        </w:rPr>
        <w:t>target</w:t>
      </w:r>
      <w:proofErr w:type="spellEnd"/>
      <w:r w:rsidRPr="00CD1A30">
        <w:rPr>
          <w:rFonts w:eastAsiaTheme="minorHAnsi"/>
          <w:szCs w:val="24"/>
          <w:lang w:val="fr-FR"/>
        </w:rPr>
        <w:t xml:space="preserve"> </w:t>
      </w:r>
      <w:proofErr w:type="spellStart"/>
      <w:r w:rsidRPr="00CD1A30">
        <w:rPr>
          <w:rFonts w:eastAsiaTheme="minorHAnsi"/>
          <w:szCs w:val="24"/>
          <w:lang w:val="fr-FR"/>
        </w:rPr>
        <w:t>limb</w:t>
      </w:r>
      <w:proofErr w:type="spellEnd"/>
      <w:r w:rsidRPr="00CD1A30">
        <w:rPr>
          <w:rFonts w:eastAsiaTheme="minorHAnsi"/>
          <w:szCs w:val="24"/>
          <w:lang w:val="fr-FR"/>
        </w:rPr>
        <w:t xml:space="preserve"> amputation, and CD-TLR </w:t>
      </w:r>
      <w:proofErr w:type="spellStart"/>
      <w:r w:rsidRPr="00CD1A30">
        <w:rPr>
          <w:rFonts w:eastAsiaTheme="minorHAnsi"/>
          <w:szCs w:val="24"/>
          <w:lang w:val="fr-FR"/>
        </w:rPr>
        <w:t>within</w:t>
      </w:r>
      <w:proofErr w:type="spellEnd"/>
      <w:r w:rsidRPr="00CD1A30">
        <w:rPr>
          <w:rFonts w:eastAsiaTheme="minorHAnsi"/>
          <w:szCs w:val="24"/>
          <w:lang w:val="fr-FR"/>
        </w:rPr>
        <w:t xml:space="preserve"> 12 </w:t>
      </w:r>
      <w:proofErr w:type="spellStart"/>
      <w:r w:rsidRPr="00CD1A30">
        <w:rPr>
          <w:rFonts w:eastAsiaTheme="minorHAnsi"/>
          <w:szCs w:val="24"/>
          <w:lang w:val="fr-FR"/>
        </w:rPr>
        <w:t>months</w:t>
      </w:r>
      <w:proofErr w:type="spellEnd"/>
      <w:r w:rsidRPr="00CD1A30">
        <w:rPr>
          <w:rFonts w:eastAsiaTheme="minorHAnsi"/>
          <w:szCs w:val="24"/>
          <w:lang w:val="fr-FR"/>
        </w:rPr>
        <w:t xml:space="preserve"> post–index </w:t>
      </w:r>
      <w:proofErr w:type="spellStart"/>
      <w:r w:rsidRPr="00CD1A30">
        <w:rPr>
          <w:rFonts w:eastAsiaTheme="minorHAnsi"/>
          <w:szCs w:val="24"/>
          <w:lang w:val="fr-FR"/>
        </w:rPr>
        <w:t>procedure</w:t>
      </w:r>
      <w:proofErr w:type="spellEnd"/>
      <w:r w:rsidRPr="00CD1A30">
        <w:rPr>
          <w:rFonts w:eastAsiaTheme="minorHAnsi"/>
          <w:szCs w:val="24"/>
          <w:lang w:val="fr-FR"/>
        </w:rPr>
        <w:t xml:space="preserve">. </w:t>
      </w:r>
    </w:p>
    <w:p w14:paraId="5B03770B" w14:textId="77777777" w:rsidR="00400D83" w:rsidRPr="00CD1A30" w:rsidRDefault="00400D83" w:rsidP="00400D83">
      <w:pPr>
        <w:pStyle w:val="Paragraphedeliste"/>
        <w:numPr>
          <w:ilvl w:val="0"/>
          <w:numId w:val="9"/>
        </w:numPr>
        <w:jc w:val="both"/>
        <w:rPr>
          <w:rStyle w:val="icon3"/>
          <w:bCs/>
          <w:iCs/>
          <w:szCs w:val="24"/>
          <w:specVanish w:val="0"/>
        </w:rPr>
      </w:pPr>
      <w:r w:rsidRPr="00CD1A30">
        <w:rPr>
          <w:rFonts w:eastAsiaTheme="minorHAnsi"/>
          <w:szCs w:val="24"/>
          <w:lang w:val="fr-FR"/>
        </w:rPr>
        <w:t xml:space="preserve">Target </w:t>
      </w:r>
      <w:proofErr w:type="spellStart"/>
      <w:r w:rsidRPr="00CD1A30">
        <w:rPr>
          <w:rFonts w:eastAsiaTheme="minorHAnsi"/>
          <w:szCs w:val="24"/>
          <w:lang w:val="fr-FR"/>
        </w:rPr>
        <w:t>lesion</w:t>
      </w:r>
      <w:proofErr w:type="spellEnd"/>
      <w:r w:rsidRPr="00CD1A30">
        <w:rPr>
          <w:rFonts w:eastAsiaTheme="minorHAnsi"/>
          <w:szCs w:val="24"/>
          <w:lang w:val="fr-FR"/>
        </w:rPr>
        <w:t xml:space="preserve"> </w:t>
      </w:r>
      <w:proofErr w:type="spellStart"/>
      <w:r w:rsidRPr="00CD1A30">
        <w:rPr>
          <w:rStyle w:val="icon3"/>
          <w:bCs/>
          <w:iCs/>
          <w:szCs w:val="24"/>
        </w:rPr>
        <w:t>reintervention</w:t>
      </w:r>
      <w:proofErr w:type="spellEnd"/>
      <w:r w:rsidRPr="00CD1A30">
        <w:rPr>
          <w:rStyle w:val="icon3"/>
          <w:bCs/>
          <w:iCs/>
          <w:szCs w:val="24"/>
        </w:rPr>
        <w:t xml:space="preserve">. </w:t>
      </w:r>
    </w:p>
    <w:p w14:paraId="659361C1" w14:textId="77777777" w:rsidR="00400D83" w:rsidRPr="00CD1A30" w:rsidRDefault="00400D83" w:rsidP="00400D83">
      <w:pPr>
        <w:pStyle w:val="Paragraphedeliste"/>
        <w:numPr>
          <w:ilvl w:val="0"/>
          <w:numId w:val="9"/>
        </w:numPr>
        <w:jc w:val="both"/>
        <w:rPr>
          <w:rStyle w:val="icon3"/>
          <w:bCs/>
          <w:iCs/>
          <w:szCs w:val="24"/>
          <w:specVanish w:val="0"/>
        </w:rPr>
      </w:pPr>
      <w:r w:rsidRPr="00CD1A30">
        <w:rPr>
          <w:rStyle w:val="icon3"/>
          <w:bCs/>
          <w:iCs/>
          <w:szCs w:val="24"/>
        </w:rPr>
        <w:t>Minor or major amputation.</w:t>
      </w:r>
    </w:p>
    <w:p w14:paraId="1EBBB09A" w14:textId="77777777" w:rsidR="00400D83" w:rsidRPr="00CD1A30" w:rsidRDefault="00400D83" w:rsidP="00400D83">
      <w:pPr>
        <w:pStyle w:val="Paragraphedeliste"/>
        <w:numPr>
          <w:ilvl w:val="0"/>
          <w:numId w:val="9"/>
        </w:numPr>
        <w:jc w:val="both"/>
        <w:rPr>
          <w:szCs w:val="24"/>
          <w:lang w:eastAsia="de-DE"/>
        </w:rPr>
      </w:pPr>
      <w:r w:rsidRPr="00CD1A30">
        <w:rPr>
          <w:szCs w:val="24"/>
          <w:lang w:eastAsia="de-DE"/>
        </w:rPr>
        <w:t xml:space="preserve">Clinical improvement defined as cumulative improvement of 1 class by </w:t>
      </w:r>
      <w:r w:rsidRPr="00CD1A30">
        <w:rPr>
          <w:szCs w:val="24"/>
        </w:rPr>
        <w:t xml:space="preserve">Rutherford </w:t>
      </w:r>
      <w:r w:rsidRPr="00CD1A30">
        <w:rPr>
          <w:szCs w:val="24"/>
          <w:lang w:eastAsia="de-DE"/>
        </w:rPr>
        <w:t>scale.</w:t>
      </w:r>
    </w:p>
    <w:p w14:paraId="5904CA2D" w14:textId="77777777" w:rsidR="00400D83" w:rsidRPr="00CD1A30" w:rsidRDefault="00400D83" w:rsidP="00400D83">
      <w:pPr>
        <w:pStyle w:val="Paragraphedeliste"/>
        <w:widowControl w:val="0"/>
        <w:autoSpaceDE w:val="0"/>
        <w:autoSpaceDN w:val="0"/>
        <w:adjustRightInd w:val="0"/>
        <w:rPr>
          <w:rFonts w:eastAsiaTheme="minorHAnsi"/>
          <w:szCs w:val="24"/>
          <w:lang w:val="fr-FR"/>
        </w:rPr>
      </w:pPr>
    </w:p>
    <w:p w14:paraId="60F4AC9B" w14:textId="4D7D3FC8" w:rsidR="00455D7B" w:rsidRPr="00CD1A30" w:rsidRDefault="00455D7B" w:rsidP="00455D7B">
      <w:pPr>
        <w:jc w:val="both"/>
        <w:rPr>
          <w:b/>
          <w:szCs w:val="24"/>
        </w:rPr>
      </w:pPr>
    </w:p>
    <w:p w14:paraId="258EB384" w14:textId="185EFFFD" w:rsidR="00455D7B" w:rsidRPr="00CD1A30" w:rsidRDefault="00455D7B" w:rsidP="00455D7B">
      <w:pPr>
        <w:ind w:left="708"/>
        <w:jc w:val="both"/>
        <w:rPr>
          <w:b/>
          <w:szCs w:val="24"/>
        </w:rPr>
      </w:pPr>
      <w:r w:rsidRPr="00CD1A30">
        <w:rPr>
          <w:b/>
          <w:szCs w:val="24"/>
        </w:rPr>
        <w:t xml:space="preserve">Statistical justification: </w:t>
      </w:r>
      <w:r w:rsidRPr="00CD1A30">
        <w:rPr>
          <w:szCs w:val="24"/>
        </w:rPr>
        <w:t xml:space="preserve">Descriptive statistics. In addition, propensity matching will be assessed to adjust for any potential confounders using logistic regression models. Thus, </w:t>
      </w:r>
      <w:proofErr w:type="gramStart"/>
      <w:r w:rsidRPr="00CD1A30">
        <w:rPr>
          <w:szCs w:val="24"/>
        </w:rPr>
        <w:t xml:space="preserve">matching will be performed, including variables such as sex, age, body-mass-index, Rutherford category, </w:t>
      </w:r>
      <w:r w:rsidR="00400D83" w:rsidRPr="00CD1A30">
        <w:rPr>
          <w:color w:val="000000" w:themeColor="text1"/>
          <w:szCs w:val="24"/>
        </w:rPr>
        <w:t>chronic limb threatening ischemia</w:t>
      </w:r>
      <w:proofErr w:type="gramEnd"/>
      <w:r w:rsidR="00400D83" w:rsidRPr="00CD1A30">
        <w:rPr>
          <w:color w:val="000000" w:themeColor="text1"/>
          <w:szCs w:val="24"/>
        </w:rPr>
        <w:t xml:space="preserve">, </w:t>
      </w:r>
      <w:proofErr w:type="gramStart"/>
      <w:r w:rsidR="00400D83" w:rsidRPr="00CD1A30">
        <w:rPr>
          <w:color w:val="000000" w:themeColor="text1"/>
          <w:szCs w:val="24"/>
        </w:rPr>
        <w:t>PACCS score 4</w:t>
      </w:r>
      <w:proofErr w:type="gramEnd"/>
      <w:r w:rsidRPr="00CD1A30">
        <w:rPr>
          <w:szCs w:val="24"/>
        </w:rPr>
        <w:t>.</w:t>
      </w:r>
      <w:r w:rsidRPr="00CD1A30">
        <w:rPr>
          <w:rFonts w:eastAsiaTheme="minorHAnsi"/>
          <w:color w:val="000000"/>
          <w:szCs w:val="24"/>
        </w:rPr>
        <w:t xml:space="preserve"> </w:t>
      </w:r>
    </w:p>
    <w:p w14:paraId="6E89966F" w14:textId="77777777" w:rsidR="00455D7B" w:rsidRPr="00CD1A30" w:rsidRDefault="00455D7B" w:rsidP="00455D7B">
      <w:pPr>
        <w:shd w:val="clear" w:color="auto" w:fill="FFFFFF" w:themeFill="background1"/>
        <w:spacing w:line="360" w:lineRule="auto"/>
        <w:ind w:firstLine="720"/>
        <w:jc w:val="both"/>
        <w:rPr>
          <w:noProof/>
          <w:szCs w:val="24"/>
        </w:rPr>
      </w:pPr>
    </w:p>
    <w:p w14:paraId="0F8F4423" w14:textId="77777777" w:rsidR="00400D83" w:rsidRPr="00CD1A30" w:rsidRDefault="00400D83" w:rsidP="00F54B43">
      <w:pPr>
        <w:rPr>
          <w:b/>
          <w:bCs/>
          <w:szCs w:val="24"/>
          <w:u w:val="single"/>
        </w:rPr>
      </w:pPr>
    </w:p>
    <w:p w14:paraId="0635A12D" w14:textId="77777777" w:rsidR="00400D83" w:rsidRPr="00CD1A30" w:rsidRDefault="00400D83" w:rsidP="00F54B43">
      <w:pPr>
        <w:rPr>
          <w:b/>
          <w:bCs/>
          <w:szCs w:val="24"/>
          <w:u w:val="single"/>
        </w:rPr>
      </w:pPr>
    </w:p>
    <w:p w14:paraId="5274E023" w14:textId="77777777" w:rsidR="00400D83" w:rsidRPr="00CD1A30" w:rsidRDefault="00400D83" w:rsidP="00F54B43">
      <w:pPr>
        <w:rPr>
          <w:b/>
          <w:bCs/>
          <w:szCs w:val="24"/>
          <w:u w:val="single"/>
        </w:rPr>
      </w:pPr>
    </w:p>
    <w:p w14:paraId="68C77FAB" w14:textId="77777777" w:rsidR="00400D83" w:rsidRPr="00CD1A30" w:rsidRDefault="00400D83" w:rsidP="00F54B43">
      <w:pPr>
        <w:rPr>
          <w:b/>
          <w:bCs/>
          <w:szCs w:val="24"/>
          <w:u w:val="single"/>
        </w:rPr>
      </w:pPr>
    </w:p>
    <w:p w14:paraId="03BA7202" w14:textId="7783B3FF" w:rsidR="00BD2133" w:rsidRPr="00CD1A30" w:rsidRDefault="00455D7B" w:rsidP="00F54B43">
      <w:pPr>
        <w:rPr>
          <w:b/>
          <w:bCs/>
          <w:szCs w:val="24"/>
          <w:u w:val="single"/>
        </w:rPr>
      </w:pPr>
      <w:r w:rsidRPr="00CD1A30">
        <w:rPr>
          <w:b/>
          <w:bCs/>
          <w:szCs w:val="24"/>
          <w:u w:val="single"/>
        </w:rPr>
        <w:t>References:</w:t>
      </w:r>
    </w:p>
    <w:p w14:paraId="7C52E177" w14:textId="12A083A3" w:rsidR="00BD2133" w:rsidRPr="00CD1A30" w:rsidRDefault="00BD2133" w:rsidP="00F54B43">
      <w:pPr>
        <w:rPr>
          <w:szCs w:val="24"/>
        </w:rPr>
      </w:pPr>
    </w:p>
    <w:p w14:paraId="107E8145" w14:textId="532242DF" w:rsidR="00BD2133" w:rsidRPr="00CD1A30" w:rsidRDefault="009D227C" w:rsidP="00BD2133">
      <w:pPr>
        <w:pStyle w:val="Bibliographie"/>
        <w:numPr>
          <w:ilvl w:val="0"/>
          <w:numId w:val="5"/>
        </w:numPr>
        <w:jc w:val="both"/>
        <w:rPr>
          <w:szCs w:val="24"/>
          <w:lang w:val="en-GB"/>
        </w:rPr>
      </w:pPr>
      <w:proofErr w:type="spellStart"/>
      <w:r w:rsidRPr="00CD1A30">
        <w:rPr>
          <w:szCs w:val="24"/>
          <w:lang w:val="en-GB"/>
        </w:rPr>
        <w:t>Nordanstig</w:t>
      </w:r>
      <w:proofErr w:type="spellEnd"/>
      <w:r w:rsidRPr="00CD1A30">
        <w:rPr>
          <w:szCs w:val="24"/>
          <w:lang w:val="en-GB"/>
        </w:rPr>
        <w:t xml:space="preserve"> J, </w:t>
      </w:r>
      <w:proofErr w:type="spellStart"/>
      <w:r w:rsidR="00BD2133" w:rsidRPr="00CD1A30">
        <w:rPr>
          <w:szCs w:val="24"/>
          <w:lang w:val="en-GB"/>
        </w:rPr>
        <w:t>B</w:t>
      </w:r>
      <w:r w:rsidRPr="00CD1A30">
        <w:rPr>
          <w:szCs w:val="24"/>
          <w:lang w:val="en-GB"/>
        </w:rPr>
        <w:t>ehrendt</w:t>
      </w:r>
      <w:proofErr w:type="spellEnd"/>
      <w:r w:rsidRPr="00CD1A30">
        <w:rPr>
          <w:szCs w:val="24"/>
          <w:lang w:val="en-GB"/>
        </w:rPr>
        <w:t xml:space="preserve"> CA, Baumgartner I, Belch J, et al</w:t>
      </w:r>
      <w:r w:rsidR="00BD2133" w:rsidRPr="00CD1A30">
        <w:rPr>
          <w:szCs w:val="24"/>
          <w:lang w:val="en-GB"/>
        </w:rPr>
        <w:t xml:space="preserve">. </w:t>
      </w:r>
      <w:r w:rsidRPr="00CD1A30">
        <w:rPr>
          <w:szCs w:val="24"/>
          <w:lang w:val="en-GB"/>
        </w:rPr>
        <w:t xml:space="preserve">European Society for Vascular Surgery (ESVS) 2024 Clinical Practice Guidelines on the Management of </w:t>
      </w:r>
      <w:r w:rsidRPr="00CD1A30">
        <w:rPr>
          <w:szCs w:val="24"/>
          <w:lang w:val="en-GB"/>
        </w:rPr>
        <w:lastRenderedPageBreak/>
        <w:t>Asymptomatic Lower Limb Peripheral Arterial Disease and Intermittent Claudication</w:t>
      </w:r>
      <w:r w:rsidR="00BD2133" w:rsidRPr="00CD1A30">
        <w:rPr>
          <w:szCs w:val="24"/>
          <w:lang w:val="en-GB"/>
        </w:rPr>
        <w:t xml:space="preserve">. Eur J </w:t>
      </w:r>
      <w:proofErr w:type="spellStart"/>
      <w:r w:rsidR="00BD2133" w:rsidRPr="00CD1A30">
        <w:rPr>
          <w:szCs w:val="24"/>
          <w:lang w:val="en-GB"/>
        </w:rPr>
        <w:t>Vasc</w:t>
      </w:r>
      <w:proofErr w:type="spellEnd"/>
      <w:r w:rsidR="00BD2133" w:rsidRPr="00CD1A30">
        <w:rPr>
          <w:szCs w:val="24"/>
          <w:lang w:val="en-GB"/>
        </w:rPr>
        <w:t xml:space="preserve"> </w:t>
      </w:r>
      <w:proofErr w:type="spellStart"/>
      <w:r w:rsidR="00BD2133" w:rsidRPr="00CD1A30">
        <w:rPr>
          <w:szCs w:val="24"/>
          <w:lang w:val="en-GB"/>
        </w:rPr>
        <w:t>Endovasc</w:t>
      </w:r>
      <w:proofErr w:type="spellEnd"/>
      <w:r w:rsidR="00BD2133" w:rsidRPr="00CD1A30">
        <w:rPr>
          <w:szCs w:val="24"/>
          <w:lang w:val="en-GB"/>
        </w:rPr>
        <w:t xml:space="preserve"> Surg</w:t>
      </w:r>
      <w:r w:rsidRPr="00CD1A30">
        <w:rPr>
          <w:szCs w:val="24"/>
          <w:lang w:val="en-GB"/>
        </w:rPr>
        <w:t>. 2024</w:t>
      </w:r>
      <w:proofErr w:type="gramStart"/>
      <w:r w:rsidRPr="00CD1A30">
        <w:rPr>
          <w:szCs w:val="24"/>
          <w:lang w:val="en-GB"/>
        </w:rPr>
        <w:t>;55:9</w:t>
      </w:r>
      <w:proofErr w:type="gramEnd"/>
      <w:r w:rsidRPr="00CD1A30">
        <w:rPr>
          <w:szCs w:val="24"/>
          <w:lang w:val="en-GB"/>
        </w:rPr>
        <w:t>-96</w:t>
      </w:r>
      <w:r w:rsidR="00BD2133" w:rsidRPr="00CD1A30">
        <w:rPr>
          <w:szCs w:val="24"/>
          <w:lang w:val="en-GB"/>
        </w:rPr>
        <w:t xml:space="preserve">. </w:t>
      </w:r>
    </w:p>
    <w:p w14:paraId="5A60FB42" w14:textId="77777777" w:rsidR="005D7257" w:rsidRPr="00CD1A30" w:rsidRDefault="005D7257" w:rsidP="005D7257">
      <w:pPr>
        <w:pStyle w:val="Bibliographie"/>
        <w:numPr>
          <w:ilvl w:val="0"/>
          <w:numId w:val="5"/>
        </w:numPr>
        <w:jc w:val="both"/>
        <w:rPr>
          <w:szCs w:val="24"/>
        </w:rPr>
      </w:pPr>
      <w:proofErr w:type="spellStart"/>
      <w:r w:rsidRPr="00CD1A30">
        <w:rPr>
          <w:szCs w:val="24"/>
        </w:rPr>
        <w:t>Gouëffic</w:t>
      </w:r>
      <w:proofErr w:type="spellEnd"/>
      <w:r w:rsidRPr="00CD1A30">
        <w:rPr>
          <w:szCs w:val="24"/>
        </w:rPr>
        <w:t xml:space="preserve"> Y, Della </w:t>
      </w:r>
      <w:proofErr w:type="spellStart"/>
      <w:r w:rsidRPr="00CD1A30">
        <w:rPr>
          <w:szCs w:val="24"/>
        </w:rPr>
        <w:t>Schiava</w:t>
      </w:r>
      <w:proofErr w:type="spellEnd"/>
      <w:r w:rsidRPr="00CD1A30">
        <w:rPr>
          <w:szCs w:val="24"/>
        </w:rPr>
        <w:t xml:space="preserve"> N, </w:t>
      </w:r>
      <w:proofErr w:type="spellStart"/>
      <w:r w:rsidRPr="00CD1A30">
        <w:rPr>
          <w:szCs w:val="24"/>
        </w:rPr>
        <w:t>Thaveau</w:t>
      </w:r>
      <w:proofErr w:type="spellEnd"/>
      <w:r w:rsidRPr="00CD1A30">
        <w:rPr>
          <w:szCs w:val="24"/>
        </w:rPr>
        <w:t xml:space="preserve"> F, et al. Stenting or Surgery for De Novo Common Femoral Artery Stenosis. JACC </w:t>
      </w:r>
      <w:proofErr w:type="spellStart"/>
      <w:r w:rsidRPr="00CD1A30">
        <w:rPr>
          <w:szCs w:val="24"/>
        </w:rPr>
        <w:t>Cardiovasc</w:t>
      </w:r>
      <w:proofErr w:type="spellEnd"/>
      <w:r w:rsidRPr="00CD1A30">
        <w:rPr>
          <w:szCs w:val="24"/>
        </w:rPr>
        <w:t xml:space="preserve"> Interv.2017</w:t>
      </w:r>
      <w:proofErr w:type="gramStart"/>
      <w:r w:rsidRPr="00CD1A30">
        <w:rPr>
          <w:szCs w:val="24"/>
        </w:rPr>
        <w:t>;10:1344</w:t>
      </w:r>
      <w:proofErr w:type="gramEnd"/>
      <w:r w:rsidRPr="00CD1A30">
        <w:rPr>
          <w:szCs w:val="24"/>
        </w:rPr>
        <w:t xml:space="preserve">-54. </w:t>
      </w:r>
    </w:p>
    <w:p w14:paraId="4187FC16" w14:textId="5593EA58" w:rsidR="005D7257" w:rsidRPr="00CD1A30" w:rsidRDefault="005D7257" w:rsidP="005D7257">
      <w:pPr>
        <w:pStyle w:val="Bibliographie"/>
        <w:numPr>
          <w:ilvl w:val="0"/>
          <w:numId w:val="5"/>
        </w:numPr>
        <w:jc w:val="both"/>
        <w:rPr>
          <w:szCs w:val="24"/>
        </w:rPr>
      </w:pPr>
      <w:proofErr w:type="spellStart"/>
      <w:r w:rsidRPr="00CD1A30">
        <w:rPr>
          <w:szCs w:val="24"/>
        </w:rPr>
        <w:t>Bonvini</w:t>
      </w:r>
      <w:proofErr w:type="spellEnd"/>
      <w:r w:rsidRPr="00CD1A30">
        <w:rPr>
          <w:szCs w:val="24"/>
        </w:rPr>
        <w:t xml:space="preserve"> RF, </w:t>
      </w:r>
      <w:proofErr w:type="spellStart"/>
      <w:r w:rsidRPr="00CD1A30">
        <w:rPr>
          <w:szCs w:val="24"/>
        </w:rPr>
        <w:t>Rastan</w:t>
      </w:r>
      <w:proofErr w:type="spellEnd"/>
      <w:r w:rsidRPr="00CD1A30">
        <w:rPr>
          <w:szCs w:val="24"/>
        </w:rPr>
        <w:t xml:space="preserve"> A, </w:t>
      </w:r>
      <w:proofErr w:type="spellStart"/>
      <w:r w:rsidRPr="00CD1A30">
        <w:rPr>
          <w:szCs w:val="24"/>
        </w:rPr>
        <w:t>Sixt</w:t>
      </w:r>
      <w:proofErr w:type="spellEnd"/>
      <w:r w:rsidRPr="00CD1A30">
        <w:rPr>
          <w:szCs w:val="24"/>
        </w:rPr>
        <w:t xml:space="preserve"> S, et al. Endovascular treatment of common femoral artery disease: medium-term outcomes of 360 consecutive procedures. J Am </w:t>
      </w:r>
      <w:proofErr w:type="spellStart"/>
      <w:r w:rsidRPr="00CD1A30">
        <w:rPr>
          <w:szCs w:val="24"/>
        </w:rPr>
        <w:t>Coll</w:t>
      </w:r>
      <w:proofErr w:type="spellEnd"/>
      <w:r w:rsidRPr="00CD1A30">
        <w:rPr>
          <w:szCs w:val="24"/>
        </w:rPr>
        <w:t xml:space="preserve"> Cardiol2011</w:t>
      </w:r>
      <w:proofErr w:type="gramStart"/>
      <w:r w:rsidRPr="00CD1A30">
        <w:rPr>
          <w:szCs w:val="24"/>
        </w:rPr>
        <w:t>;58:792</w:t>
      </w:r>
      <w:proofErr w:type="gramEnd"/>
      <w:r w:rsidRPr="00CD1A30">
        <w:rPr>
          <w:rFonts w:eastAsia="MS Mincho"/>
          <w:szCs w:val="24"/>
        </w:rPr>
        <w:t>-</w:t>
      </w:r>
      <w:r w:rsidRPr="00CD1A30">
        <w:rPr>
          <w:szCs w:val="24"/>
        </w:rPr>
        <w:t>8.</w:t>
      </w:r>
    </w:p>
    <w:p w14:paraId="457DC4D8" w14:textId="40E09FA9" w:rsidR="00555FCE" w:rsidRPr="00CD1A30" w:rsidRDefault="009D227C" w:rsidP="00555FCE">
      <w:pPr>
        <w:pStyle w:val="Bibliographie"/>
        <w:numPr>
          <w:ilvl w:val="0"/>
          <w:numId w:val="5"/>
        </w:numPr>
        <w:jc w:val="both"/>
        <w:rPr>
          <w:szCs w:val="24"/>
        </w:rPr>
      </w:pPr>
      <w:proofErr w:type="spellStart"/>
      <w:r w:rsidRPr="00CD1A30">
        <w:rPr>
          <w:szCs w:val="24"/>
        </w:rPr>
        <w:t>Stavroulakis</w:t>
      </w:r>
      <w:proofErr w:type="spellEnd"/>
      <w:r w:rsidRPr="00CD1A30">
        <w:rPr>
          <w:szCs w:val="24"/>
        </w:rPr>
        <w:t xml:space="preserve"> K, </w:t>
      </w:r>
      <w:proofErr w:type="spellStart"/>
      <w:r w:rsidRPr="00CD1A30">
        <w:rPr>
          <w:szCs w:val="24"/>
        </w:rPr>
        <w:t>Torsello</w:t>
      </w:r>
      <w:proofErr w:type="spellEnd"/>
      <w:r w:rsidRPr="00CD1A30">
        <w:rPr>
          <w:szCs w:val="24"/>
        </w:rPr>
        <w:t xml:space="preserve"> G, </w:t>
      </w:r>
      <w:proofErr w:type="spellStart"/>
      <w:r w:rsidRPr="00CD1A30">
        <w:rPr>
          <w:szCs w:val="24"/>
        </w:rPr>
        <w:t>Chlouverakis</w:t>
      </w:r>
      <w:proofErr w:type="spellEnd"/>
      <w:r w:rsidRPr="00CD1A30">
        <w:rPr>
          <w:szCs w:val="24"/>
        </w:rPr>
        <w:t xml:space="preserve"> G, et al. Intravascular Lithotripsy and Drug-Coated Balloon Angioplasty for </w:t>
      </w:r>
      <w:proofErr w:type="spellStart"/>
      <w:r w:rsidRPr="00CD1A30">
        <w:rPr>
          <w:szCs w:val="24"/>
        </w:rPr>
        <w:t>Severy</w:t>
      </w:r>
      <w:proofErr w:type="spellEnd"/>
      <w:r w:rsidRPr="00CD1A30">
        <w:rPr>
          <w:szCs w:val="24"/>
        </w:rPr>
        <w:t xml:space="preserve"> Calcified Common Femoral Artery Atherosclerotic Disease. J </w:t>
      </w:r>
      <w:proofErr w:type="spellStart"/>
      <w:r w:rsidRPr="00CD1A30">
        <w:rPr>
          <w:szCs w:val="24"/>
        </w:rPr>
        <w:t>Endovasc</w:t>
      </w:r>
      <w:proofErr w:type="spellEnd"/>
      <w:r w:rsidRPr="00CD1A30">
        <w:rPr>
          <w:szCs w:val="24"/>
        </w:rPr>
        <w:t xml:space="preserve"> </w:t>
      </w:r>
      <w:proofErr w:type="spellStart"/>
      <w:r w:rsidRPr="00CD1A30">
        <w:rPr>
          <w:szCs w:val="24"/>
        </w:rPr>
        <w:t>Ther</w:t>
      </w:r>
      <w:proofErr w:type="spellEnd"/>
      <w:r w:rsidRPr="00CD1A30">
        <w:rPr>
          <w:szCs w:val="24"/>
        </w:rPr>
        <w:t xml:space="preserve"> 2024</w:t>
      </w:r>
      <w:proofErr w:type="gramStart"/>
      <w:r w:rsidRPr="00CD1A30">
        <w:rPr>
          <w:szCs w:val="24"/>
        </w:rPr>
        <w:t>;31:1165</w:t>
      </w:r>
      <w:proofErr w:type="gramEnd"/>
      <w:r w:rsidRPr="00CD1A30">
        <w:rPr>
          <w:szCs w:val="24"/>
        </w:rPr>
        <w:t>-1172</w:t>
      </w:r>
    </w:p>
    <w:p w14:paraId="3F96ADA0" w14:textId="0459F868" w:rsidR="00555FCE" w:rsidRPr="00CD1A30" w:rsidRDefault="00555FCE" w:rsidP="00CD1A30">
      <w:pPr>
        <w:pStyle w:val="Bibliographie"/>
        <w:ind w:left="1080"/>
        <w:jc w:val="both"/>
        <w:rPr>
          <w:szCs w:val="24"/>
        </w:rPr>
      </w:pPr>
      <w:bookmarkStart w:id="0" w:name="_GoBack"/>
      <w:bookmarkEnd w:id="0"/>
    </w:p>
    <w:sectPr w:rsidR="00555FCE" w:rsidRPr="00CD1A30" w:rsidSect="00E31771">
      <w:headerReference w:type="default" r:id="rId10"/>
      <w:footerReference w:type="default" r:id="rId11"/>
      <w:headerReference w:type="first" r:id="rId12"/>
      <w:footerReference w:type="first" r:id="rId13"/>
      <w:pgSz w:w="12240" w:h="15840"/>
      <w:pgMar w:top="1170" w:right="1440" w:bottom="1440" w:left="1440" w:header="288" w:footer="25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846F3" w14:textId="77777777" w:rsidR="009D227C" w:rsidRDefault="009D227C" w:rsidP="0038141E">
      <w:r>
        <w:separator/>
      </w:r>
    </w:p>
  </w:endnote>
  <w:endnote w:type="continuationSeparator" w:id="0">
    <w:p w14:paraId="0BEE6E9F" w14:textId="77777777" w:rsidR="009D227C" w:rsidRDefault="009D227C" w:rsidP="0038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8000012" w:usb3="00000000" w:csb0="0002009F" w:csb1="00000000"/>
  </w:font>
  <w:font w:name="ＭＳ Ｐゴシック">
    <w:charset w:val="4E"/>
    <w:family w:val="auto"/>
    <w:pitch w:val="variable"/>
    <w:sig w:usb0="E00002FF" w:usb1="6AC7FDFB" w:usb2="00000012" w:usb3="00000000" w:csb0="0002009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685226"/>
      <w:docPartObj>
        <w:docPartGallery w:val="Page Numbers (Bottom of Page)"/>
        <w:docPartUnique/>
      </w:docPartObj>
    </w:sdtPr>
    <w:sdtContent>
      <w:p w14:paraId="29914206" w14:textId="77777777" w:rsidR="009D227C" w:rsidRDefault="009D227C" w:rsidP="00DD07BA">
        <w:pPr>
          <w:rPr>
            <w:rFonts w:ascii="AvantGarde Bk BT" w:hAnsi="AvantGarde Bk BT"/>
            <w:sz w:val="16"/>
            <w:szCs w:val="16"/>
          </w:rPr>
        </w:pPr>
      </w:p>
      <w:p w14:paraId="449EAFFA" w14:textId="77777777" w:rsidR="009D227C" w:rsidRDefault="009D227C" w:rsidP="00DD07BA">
        <w:pPr>
          <w:rPr>
            <w:rFonts w:ascii="AvantGarde Bk BT" w:hAnsi="AvantGarde Bk BT"/>
            <w:sz w:val="16"/>
            <w:szCs w:val="16"/>
          </w:rPr>
        </w:pPr>
        <w:r>
          <w:rPr>
            <w:rFonts w:ascii="AvantGarde Bk BT" w:hAnsi="AvantGarde Bk BT"/>
            <w:sz w:val="16"/>
            <w:szCs w:val="16"/>
          </w:rPr>
          <w:t>A-T CHILDREN’S PROJECT</w:t>
        </w:r>
      </w:p>
      <w:p w14:paraId="16D1F4D2" w14:textId="77777777" w:rsidR="009D227C" w:rsidRDefault="009D227C" w:rsidP="00DD07BA">
        <w:pPr>
          <w:rPr>
            <w:rFonts w:ascii="AvantGarde Bk BT" w:hAnsi="AvantGarde Bk BT"/>
            <w:sz w:val="16"/>
            <w:szCs w:val="16"/>
          </w:rPr>
        </w:pPr>
        <w:r>
          <w:rPr>
            <w:rFonts w:ascii="AvantGarde Bk BT" w:hAnsi="AvantGarde Bk BT"/>
            <w:sz w:val="16"/>
            <w:szCs w:val="16"/>
          </w:rPr>
          <w:t xml:space="preserve">5300 W. Hillsboro Blvd., Suite 105 </w:t>
        </w:r>
        <w:r w:rsidRPr="00EE374E">
          <w:rPr>
            <w:rFonts w:ascii="AvantGarde Bk BT" w:hAnsi="AvantGarde Bk BT"/>
            <w:sz w:val="16"/>
            <w:szCs w:val="16"/>
          </w:rPr>
          <w:t xml:space="preserve"> </w:t>
        </w:r>
        <w:r w:rsidRPr="00EE374E">
          <w:rPr>
            <w:rFonts w:ascii="AvantGarde Bk BT" w:hAnsi="AvantGarde Bk BT"/>
            <w:position w:val="-2"/>
            <w:sz w:val="16"/>
            <w:szCs w:val="16"/>
          </w:rPr>
          <w:t>•</w:t>
        </w:r>
        <w:r w:rsidRPr="00EE374E">
          <w:rPr>
            <w:rFonts w:ascii="AvantGarde Bk BT" w:hAnsi="AvantGarde Bk BT"/>
            <w:sz w:val="16"/>
            <w:szCs w:val="16"/>
          </w:rPr>
          <w:t xml:space="preserve">  </w:t>
        </w:r>
        <w:r>
          <w:rPr>
            <w:rFonts w:ascii="AvantGarde Bk BT" w:hAnsi="AvantGarde Bk BT"/>
            <w:sz w:val="16"/>
            <w:szCs w:val="16"/>
          </w:rPr>
          <w:t xml:space="preserve"> Coconut Creek</w:t>
        </w:r>
        <w:r w:rsidRPr="00EE374E">
          <w:rPr>
            <w:rFonts w:ascii="AvantGarde Bk BT" w:hAnsi="AvantGarde Bk BT"/>
            <w:sz w:val="16"/>
            <w:szCs w:val="16"/>
          </w:rPr>
          <w:t>, Florida</w:t>
        </w:r>
        <w:r>
          <w:rPr>
            <w:rFonts w:ascii="AvantGarde Bk BT" w:hAnsi="AvantGarde Bk BT"/>
            <w:sz w:val="16"/>
            <w:szCs w:val="16"/>
          </w:rPr>
          <w:t xml:space="preserve">  33073 </w:t>
        </w:r>
      </w:p>
      <w:p w14:paraId="0FA9DE74" w14:textId="77777777" w:rsidR="009D227C" w:rsidRDefault="009D227C" w:rsidP="00DD07BA">
        <w:pPr>
          <w:rPr>
            <w:rFonts w:ascii="AvantGarde Bk BT" w:hAnsi="AvantGarde Bk BT"/>
            <w:sz w:val="16"/>
            <w:szCs w:val="16"/>
          </w:rPr>
        </w:pPr>
        <w:r w:rsidRPr="00EE374E">
          <w:rPr>
            <w:rFonts w:ascii="AvantGarde Bk BT" w:hAnsi="AvantGarde Bk BT"/>
            <w:sz w:val="16"/>
            <w:szCs w:val="16"/>
          </w:rPr>
          <w:t xml:space="preserve">Phone: (954) 481-6611 </w:t>
        </w:r>
        <w:r w:rsidRPr="00EE374E">
          <w:rPr>
            <w:rFonts w:ascii="AvantGarde Bk BT" w:hAnsi="AvantGarde Bk BT"/>
            <w:position w:val="-2"/>
            <w:sz w:val="16"/>
            <w:szCs w:val="16"/>
          </w:rPr>
          <w:t>•</w:t>
        </w:r>
        <w:r w:rsidRPr="00EE374E">
          <w:rPr>
            <w:rFonts w:ascii="AvantGarde Bk BT" w:hAnsi="AvantGarde Bk BT"/>
            <w:sz w:val="16"/>
            <w:szCs w:val="16"/>
          </w:rPr>
          <w:t xml:space="preserve"> www.atcp.org</w:t>
        </w:r>
      </w:p>
      <w:p w14:paraId="02C7CA88" w14:textId="77777777" w:rsidR="009D227C" w:rsidRPr="00DD07BA" w:rsidRDefault="009D227C" w:rsidP="00DD07BA">
        <w:pPr>
          <w:rPr>
            <w:rFonts w:ascii="AvantGarde Bk BT" w:hAnsi="AvantGarde Bk BT"/>
            <w:sz w:val="16"/>
            <w:szCs w:val="16"/>
          </w:rPr>
        </w:pPr>
        <w:r>
          <w:rPr>
            <w:rFonts w:ascii="AvantGarde Bk BT" w:hAnsi="AvantGarde Bk BT"/>
            <w:sz w:val="16"/>
            <w:szCs w:val="16"/>
          </w:rPr>
          <w:t>grants@atcp.org</w:t>
        </w:r>
      </w:p>
      <w:p w14:paraId="45B17456" w14:textId="77777777" w:rsidR="009D227C" w:rsidRDefault="009D227C" w:rsidP="00DD07BA">
        <w:pPr>
          <w:pStyle w:val="Pieddepage"/>
          <w:jc w:val="right"/>
        </w:pPr>
        <w:r>
          <w:rPr>
            <w:noProof/>
          </w:rPr>
          <w:t>3</w: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E20E0" w14:textId="3A6D285F" w:rsidR="009D227C" w:rsidRPr="00015438" w:rsidRDefault="009D227C" w:rsidP="00015438">
    <w:pPr>
      <w:pStyle w:val="Pieddepage"/>
      <w:jc w:val="right"/>
    </w:pPr>
    <w:r>
      <w:rPr>
        <w:noProof/>
      </w:rP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DF602" w14:textId="77777777" w:rsidR="009D227C" w:rsidRDefault="009D227C" w:rsidP="0038141E">
      <w:r>
        <w:separator/>
      </w:r>
    </w:p>
  </w:footnote>
  <w:footnote w:type="continuationSeparator" w:id="0">
    <w:p w14:paraId="275A76FB" w14:textId="77777777" w:rsidR="009D227C" w:rsidRDefault="009D227C" w:rsidP="003814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9D227C" w:rsidRPr="0038141E" w14:paraId="5FBCA35B" w14:textId="77777777">
      <w:trPr>
        <w:trHeight w:val="288"/>
      </w:trPr>
      <w:sdt>
        <w:sdtPr>
          <w:rPr>
            <w:rFonts w:asciiTheme="majorHAnsi" w:eastAsiaTheme="majorEastAsia" w:hAnsiTheme="majorHAnsi" w:cstheme="majorBidi"/>
            <w:b/>
            <w:sz w:val="22"/>
            <w:szCs w:val="22"/>
          </w:rPr>
          <w:alias w:val="Title"/>
          <w:id w:val="469685224"/>
          <w:placeholder>
            <w:docPart w:val="430CEF0442DD4CA5BA1D71D0DF4F6D5D"/>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2EBEE093" w14:textId="1B0F389C" w:rsidR="009D227C" w:rsidRPr="0038141E" w:rsidRDefault="009D227C" w:rsidP="00DF5D68">
              <w:pPr>
                <w:pStyle w:val="En-tte"/>
                <w:rPr>
                  <w:rFonts w:asciiTheme="majorHAnsi" w:eastAsiaTheme="majorEastAsia" w:hAnsiTheme="majorHAnsi" w:cstheme="majorBidi"/>
                  <w:szCs w:val="22"/>
                </w:rPr>
              </w:pPr>
              <w:r>
                <w:rPr>
                  <w:rFonts w:asciiTheme="majorHAnsi" w:eastAsiaTheme="majorEastAsia" w:hAnsiTheme="majorHAnsi" w:cstheme="majorBidi"/>
                  <w:b/>
                  <w:sz w:val="22"/>
                  <w:szCs w:val="22"/>
                </w:rPr>
                <w:t>PROPOSAL APPLICATION FORM</w:t>
              </w:r>
            </w:p>
          </w:tc>
        </w:sdtContent>
      </w:sdt>
      <w:sdt>
        <w:sdtPr>
          <w:rPr>
            <w:rFonts w:asciiTheme="majorHAnsi" w:eastAsiaTheme="majorEastAsia" w:hAnsiTheme="majorHAnsi" w:cstheme="majorBidi"/>
            <w:b/>
            <w:bCs/>
            <w:color w:val="FF0000"/>
            <w:sz w:val="22"/>
            <w:szCs w:val="22"/>
          </w:rPr>
          <w:alias w:val="Year"/>
          <w:id w:val="469685225"/>
          <w:placeholder>
            <w:docPart w:val="65BFFF6827354F95BB735159C750EEDB"/>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14:paraId="6BBA28D0" w14:textId="04ACE224" w:rsidR="009D227C" w:rsidRPr="008E093E" w:rsidRDefault="009D227C" w:rsidP="0038141E">
              <w:pPr>
                <w:pStyle w:val="En-tte"/>
                <w:rPr>
                  <w:rFonts w:asciiTheme="majorHAnsi" w:eastAsiaTheme="majorEastAsia" w:hAnsiTheme="majorHAnsi" w:cstheme="majorBidi"/>
                  <w:b/>
                  <w:bCs/>
                  <w:color w:val="FF0000"/>
                  <w:szCs w:val="22"/>
                </w:rPr>
              </w:pPr>
              <w:r>
                <w:rPr>
                  <w:rFonts w:asciiTheme="majorHAnsi" w:eastAsiaTheme="majorEastAsia" w:hAnsiTheme="majorHAnsi" w:cstheme="majorBidi"/>
                  <w:b/>
                  <w:bCs/>
                  <w:color w:val="FF0000"/>
                  <w:sz w:val="22"/>
                  <w:szCs w:val="22"/>
                </w:rPr>
                <w:t>20X</w:t>
              </w:r>
            </w:p>
          </w:tc>
        </w:sdtContent>
      </w:sdt>
    </w:tr>
  </w:tbl>
  <w:p w14:paraId="62D3B432" w14:textId="77777777" w:rsidR="009D227C" w:rsidRDefault="009D227C">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3C50B" w14:textId="3F2AF9EF" w:rsidR="009D227C" w:rsidRDefault="009D227C" w:rsidP="001130BF">
    <w:pPr>
      <w:pStyle w:val="En-tte"/>
      <w:tabs>
        <w:tab w:val="clear" w:pos="9360"/>
        <w:tab w:val="left" w:pos="7162"/>
      </w:tabs>
    </w:pPr>
    <w:r>
      <w:tab/>
    </w: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9D227C" w:rsidRPr="0038141E" w14:paraId="3C8047A9" w14:textId="77777777" w:rsidTr="00096032">
      <w:trPr>
        <w:trHeight w:val="288"/>
      </w:trPr>
      <w:sdt>
        <w:sdtPr>
          <w:rPr>
            <w:rFonts w:asciiTheme="majorHAnsi" w:eastAsiaTheme="majorEastAsia" w:hAnsiTheme="majorHAnsi" w:cstheme="majorBidi"/>
            <w:b/>
            <w:sz w:val="32"/>
            <w:szCs w:val="32"/>
          </w:rPr>
          <w:alias w:val="Title"/>
          <w:id w:val="469685227"/>
          <w:dataBinding w:prefixMappings="xmlns:ns0='http://schemas.openxmlformats.org/package/2006/metadata/core-properties' xmlns:ns1='http://purl.org/dc/elements/1.1/'" w:xpath="/ns0:coreProperties[1]/ns1:title[1]" w:storeItemID="{6C3C8BC8-F283-45AE-878A-BAB7291924A1}"/>
          <w:text/>
        </w:sdtPr>
        <w:sdtContent>
          <w:tc>
            <w:tcPr>
              <w:tcW w:w="8395" w:type="dxa"/>
              <w:vAlign w:val="bottom"/>
            </w:tcPr>
            <w:p w14:paraId="7F1AEF6A" w14:textId="12799DB9" w:rsidR="009D227C" w:rsidRPr="0038141E" w:rsidRDefault="009D227C" w:rsidP="00FE3760">
              <w:pPr>
                <w:pStyle w:val="En-tte"/>
                <w:rPr>
                  <w:rFonts w:asciiTheme="majorHAnsi" w:eastAsiaTheme="majorEastAsia" w:hAnsiTheme="majorHAnsi" w:cstheme="majorBidi"/>
                  <w:szCs w:val="22"/>
                </w:rPr>
              </w:pPr>
              <w:r w:rsidRPr="00DC6D6A">
                <w:rPr>
                  <w:rFonts w:asciiTheme="majorHAnsi" w:eastAsiaTheme="majorEastAsia" w:hAnsiTheme="majorHAnsi" w:cstheme="majorBidi"/>
                  <w:b/>
                  <w:sz w:val="32"/>
                  <w:szCs w:val="32"/>
                </w:rPr>
                <w:t>PROPOSAL APPLICATION FORM</w:t>
              </w:r>
            </w:p>
          </w:tc>
        </w:sdtContent>
      </w:sdt>
      <w:tc>
        <w:tcPr>
          <w:tcW w:w="1195" w:type="dxa"/>
          <w:vAlign w:val="bottom"/>
        </w:tcPr>
        <w:p w14:paraId="475FAD18" w14:textId="0361AB9B" w:rsidR="009D227C" w:rsidRPr="008E093E" w:rsidRDefault="009D227C" w:rsidP="00FE3760">
          <w:pPr>
            <w:pStyle w:val="En-tte"/>
            <w:jc w:val="center"/>
            <w:rPr>
              <w:rFonts w:asciiTheme="majorHAnsi" w:eastAsiaTheme="majorEastAsia" w:hAnsiTheme="majorHAnsi" w:cstheme="majorBidi"/>
              <w:b/>
              <w:bCs/>
              <w:color w:val="FF0000"/>
              <w:szCs w:val="22"/>
            </w:rPr>
          </w:pPr>
        </w:p>
      </w:tc>
    </w:tr>
  </w:tbl>
  <w:p w14:paraId="204A0559" w14:textId="77777777" w:rsidR="009D227C" w:rsidRDefault="009D227C" w:rsidP="001130BF">
    <w:pPr>
      <w:pStyle w:val="En-tte"/>
      <w:tabs>
        <w:tab w:val="clear" w:pos="9360"/>
        <w:tab w:val="left" w:pos="7162"/>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9376E"/>
    <w:multiLevelType w:val="hybridMultilevel"/>
    <w:tmpl w:val="625A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C4567"/>
    <w:multiLevelType w:val="hybridMultilevel"/>
    <w:tmpl w:val="8DD8F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2838CB"/>
    <w:multiLevelType w:val="hybridMultilevel"/>
    <w:tmpl w:val="FE5CD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2E74252"/>
    <w:multiLevelType w:val="multilevel"/>
    <w:tmpl w:val="EE40A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BE7A10"/>
    <w:multiLevelType w:val="hybridMultilevel"/>
    <w:tmpl w:val="8B7A2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53B3DB2"/>
    <w:multiLevelType w:val="hybridMultilevel"/>
    <w:tmpl w:val="3CE0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3C1D8B"/>
    <w:multiLevelType w:val="hybridMultilevel"/>
    <w:tmpl w:val="1284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2C7AF6"/>
    <w:multiLevelType w:val="hybridMultilevel"/>
    <w:tmpl w:val="C822730E"/>
    <w:lvl w:ilvl="0" w:tplc="4B821F5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3E14D48"/>
    <w:multiLevelType w:val="hybridMultilevel"/>
    <w:tmpl w:val="FC8AC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7"/>
  </w:num>
  <w:num w:numId="6">
    <w:abstractNumId w:val="2"/>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41E"/>
    <w:rsid w:val="00003CC1"/>
    <w:rsid w:val="00003ED1"/>
    <w:rsid w:val="000120F1"/>
    <w:rsid w:val="00015438"/>
    <w:rsid w:val="00017662"/>
    <w:rsid w:val="00020A6C"/>
    <w:rsid w:val="00026B07"/>
    <w:rsid w:val="00027720"/>
    <w:rsid w:val="0003423C"/>
    <w:rsid w:val="00036612"/>
    <w:rsid w:val="00036CED"/>
    <w:rsid w:val="000400FC"/>
    <w:rsid w:val="0004167A"/>
    <w:rsid w:val="00041FBB"/>
    <w:rsid w:val="00043B8B"/>
    <w:rsid w:val="0004494C"/>
    <w:rsid w:val="00045F8B"/>
    <w:rsid w:val="00047EE6"/>
    <w:rsid w:val="00051F12"/>
    <w:rsid w:val="00052ABA"/>
    <w:rsid w:val="000534BF"/>
    <w:rsid w:val="000608CD"/>
    <w:rsid w:val="00061E9E"/>
    <w:rsid w:val="00062689"/>
    <w:rsid w:val="000642C6"/>
    <w:rsid w:val="000655BC"/>
    <w:rsid w:val="00065862"/>
    <w:rsid w:val="00065BA3"/>
    <w:rsid w:val="000673A2"/>
    <w:rsid w:val="00070715"/>
    <w:rsid w:val="00070D54"/>
    <w:rsid w:val="00074FC2"/>
    <w:rsid w:val="000779EE"/>
    <w:rsid w:val="00081AB3"/>
    <w:rsid w:val="000829BB"/>
    <w:rsid w:val="00083C6A"/>
    <w:rsid w:val="00086021"/>
    <w:rsid w:val="00090300"/>
    <w:rsid w:val="0009135B"/>
    <w:rsid w:val="0009163A"/>
    <w:rsid w:val="00091827"/>
    <w:rsid w:val="00092868"/>
    <w:rsid w:val="00092895"/>
    <w:rsid w:val="00093592"/>
    <w:rsid w:val="00096032"/>
    <w:rsid w:val="0009689C"/>
    <w:rsid w:val="000A0531"/>
    <w:rsid w:val="000A29B5"/>
    <w:rsid w:val="000A3E67"/>
    <w:rsid w:val="000B1082"/>
    <w:rsid w:val="000B10A9"/>
    <w:rsid w:val="000B382F"/>
    <w:rsid w:val="000B75C8"/>
    <w:rsid w:val="000B7EB3"/>
    <w:rsid w:val="000C2734"/>
    <w:rsid w:val="000C4315"/>
    <w:rsid w:val="000C6719"/>
    <w:rsid w:val="000C6CF2"/>
    <w:rsid w:val="000D0D64"/>
    <w:rsid w:val="000D1441"/>
    <w:rsid w:val="000D4538"/>
    <w:rsid w:val="000D47F1"/>
    <w:rsid w:val="000D5452"/>
    <w:rsid w:val="000D5DCD"/>
    <w:rsid w:val="000E0AEB"/>
    <w:rsid w:val="000E1E91"/>
    <w:rsid w:val="000E50AC"/>
    <w:rsid w:val="000E6E25"/>
    <w:rsid w:val="000F28CD"/>
    <w:rsid w:val="000F46EE"/>
    <w:rsid w:val="00101059"/>
    <w:rsid w:val="0010377C"/>
    <w:rsid w:val="0010408D"/>
    <w:rsid w:val="001061AE"/>
    <w:rsid w:val="00111850"/>
    <w:rsid w:val="001130BF"/>
    <w:rsid w:val="00116752"/>
    <w:rsid w:val="001208D8"/>
    <w:rsid w:val="00121BA9"/>
    <w:rsid w:val="00124E1F"/>
    <w:rsid w:val="00130352"/>
    <w:rsid w:val="001414FA"/>
    <w:rsid w:val="0014389A"/>
    <w:rsid w:val="00143ED0"/>
    <w:rsid w:val="001500D8"/>
    <w:rsid w:val="001513E2"/>
    <w:rsid w:val="00151DB7"/>
    <w:rsid w:val="001533F2"/>
    <w:rsid w:val="00153B5F"/>
    <w:rsid w:val="001571C4"/>
    <w:rsid w:val="00161F55"/>
    <w:rsid w:val="00162D12"/>
    <w:rsid w:val="00163F87"/>
    <w:rsid w:val="00166485"/>
    <w:rsid w:val="00171E4E"/>
    <w:rsid w:val="001767A0"/>
    <w:rsid w:val="0018307C"/>
    <w:rsid w:val="00187AFC"/>
    <w:rsid w:val="001900B6"/>
    <w:rsid w:val="00191051"/>
    <w:rsid w:val="00194BD0"/>
    <w:rsid w:val="001A0798"/>
    <w:rsid w:val="001A605B"/>
    <w:rsid w:val="001A66A9"/>
    <w:rsid w:val="001B1A13"/>
    <w:rsid w:val="001B5CCF"/>
    <w:rsid w:val="001C0505"/>
    <w:rsid w:val="001C29C8"/>
    <w:rsid w:val="001C5EB9"/>
    <w:rsid w:val="001D01A6"/>
    <w:rsid w:val="001E28EB"/>
    <w:rsid w:val="001E682D"/>
    <w:rsid w:val="001E7999"/>
    <w:rsid w:val="001E7C42"/>
    <w:rsid w:val="001F0DC9"/>
    <w:rsid w:val="001F2D02"/>
    <w:rsid w:val="001F381F"/>
    <w:rsid w:val="00201896"/>
    <w:rsid w:val="00203424"/>
    <w:rsid w:val="002046B6"/>
    <w:rsid w:val="002102BB"/>
    <w:rsid w:val="0021408F"/>
    <w:rsid w:val="00214155"/>
    <w:rsid w:val="002158BA"/>
    <w:rsid w:val="0022049E"/>
    <w:rsid w:val="00224981"/>
    <w:rsid w:val="00225208"/>
    <w:rsid w:val="00225820"/>
    <w:rsid w:val="002258D6"/>
    <w:rsid w:val="00225EC6"/>
    <w:rsid w:val="00232D33"/>
    <w:rsid w:val="002334E3"/>
    <w:rsid w:val="0023470F"/>
    <w:rsid w:val="00235AC3"/>
    <w:rsid w:val="00240087"/>
    <w:rsid w:val="00240A02"/>
    <w:rsid w:val="002419B7"/>
    <w:rsid w:val="00244407"/>
    <w:rsid w:val="00245D1A"/>
    <w:rsid w:val="002468BA"/>
    <w:rsid w:val="00247775"/>
    <w:rsid w:val="00250BB2"/>
    <w:rsid w:val="002577E4"/>
    <w:rsid w:val="00260DB3"/>
    <w:rsid w:val="00261899"/>
    <w:rsid w:val="00261EBF"/>
    <w:rsid w:val="00262BB2"/>
    <w:rsid w:val="002660C3"/>
    <w:rsid w:val="002671B1"/>
    <w:rsid w:val="00281537"/>
    <w:rsid w:val="002834B7"/>
    <w:rsid w:val="002842A9"/>
    <w:rsid w:val="00284E3B"/>
    <w:rsid w:val="00285F9B"/>
    <w:rsid w:val="00291E17"/>
    <w:rsid w:val="00294BED"/>
    <w:rsid w:val="00294C24"/>
    <w:rsid w:val="002A1A4F"/>
    <w:rsid w:val="002A3F50"/>
    <w:rsid w:val="002A5384"/>
    <w:rsid w:val="002A6A40"/>
    <w:rsid w:val="002A70FD"/>
    <w:rsid w:val="002B1BEB"/>
    <w:rsid w:val="002C062C"/>
    <w:rsid w:val="002C1A00"/>
    <w:rsid w:val="002C68F4"/>
    <w:rsid w:val="002D307F"/>
    <w:rsid w:val="002E3715"/>
    <w:rsid w:val="002E4046"/>
    <w:rsid w:val="002E4CD1"/>
    <w:rsid w:val="002E5207"/>
    <w:rsid w:val="002E7A1B"/>
    <w:rsid w:val="002F691F"/>
    <w:rsid w:val="003019A4"/>
    <w:rsid w:val="00302427"/>
    <w:rsid w:val="0030302E"/>
    <w:rsid w:val="003042C7"/>
    <w:rsid w:val="003067CF"/>
    <w:rsid w:val="00306C2A"/>
    <w:rsid w:val="00311AFD"/>
    <w:rsid w:val="00313D6A"/>
    <w:rsid w:val="003140BE"/>
    <w:rsid w:val="0031471E"/>
    <w:rsid w:val="0031483C"/>
    <w:rsid w:val="00317181"/>
    <w:rsid w:val="00317800"/>
    <w:rsid w:val="00326067"/>
    <w:rsid w:val="00326FC7"/>
    <w:rsid w:val="00334FAD"/>
    <w:rsid w:val="00335433"/>
    <w:rsid w:val="00336099"/>
    <w:rsid w:val="003363E2"/>
    <w:rsid w:val="00337B85"/>
    <w:rsid w:val="00341B23"/>
    <w:rsid w:val="00344045"/>
    <w:rsid w:val="00346462"/>
    <w:rsid w:val="00353B5E"/>
    <w:rsid w:val="00353F5D"/>
    <w:rsid w:val="003542D6"/>
    <w:rsid w:val="00354D29"/>
    <w:rsid w:val="003703FE"/>
    <w:rsid w:val="00375C5A"/>
    <w:rsid w:val="0037755C"/>
    <w:rsid w:val="00377F88"/>
    <w:rsid w:val="0038141E"/>
    <w:rsid w:val="00382603"/>
    <w:rsid w:val="00382A11"/>
    <w:rsid w:val="00382C63"/>
    <w:rsid w:val="00383BA0"/>
    <w:rsid w:val="003868B3"/>
    <w:rsid w:val="003876A1"/>
    <w:rsid w:val="00391536"/>
    <w:rsid w:val="00397E84"/>
    <w:rsid w:val="003A5F5C"/>
    <w:rsid w:val="003B079F"/>
    <w:rsid w:val="003B0B06"/>
    <w:rsid w:val="003B3D20"/>
    <w:rsid w:val="003B5EE3"/>
    <w:rsid w:val="003C0E15"/>
    <w:rsid w:val="003C73A0"/>
    <w:rsid w:val="003D196A"/>
    <w:rsid w:val="003D3368"/>
    <w:rsid w:val="003D3B2B"/>
    <w:rsid w:val="003D459B"/>
    <w:rsid w:val="003D712D"/>
    <w:rsid w:val="003D7671"/>
    <w:rsid w:val="003E15D9"/>
    <w:rsid w:val="003E7FBF"/>
    <w:rsid w:val="003F2A63"/>
    <w:rsid w:val="003F6594"/>
    <w:rsid w:val="003F6F4A"/>
    <w:rsid w:val="003F7F18"/>
    <w:rsid w:val="00400D83"/>
    <w:rsid w:val="00405E47"/>
    <w:rsid w:val="00407CFC"/>
    <w:rsid w:val="0041025F"/>
    <w:rsid w:val="00412C13"/>
    <w:rsid w:val="00421F5E"/>
    <w:rsid w:val="004235F1"/>
    <w:rsid w:val="00424EEB"/>
    <w:rsid w:val="00427495"/>
    <w:rsid w:val="0042769B"/>
    <w:rsid w:val="00430BDB"/>
    <w:rsid w:val="00430DFC"/>
    <w:rsid w:val="00433CAC"/>
    <w:rsid w:val="0043440D"/>
    <w:rsid w:val="00434D1B"/>
    <w:rsid w:val="00437988"/>
    <w:rsid w:val="00437D34"/>
    <w:rsid w:val="00441A3E"/>
    <w:rsid w:val="00442091"/>
    <w:rsid w:val="00442802"/>
    <w:rsid w:val="00443505"/>
    <w:rsid w:val="00444639"/>
    <w:rsid w:val="00447135"/>
    <w:rsid w:val="00453B31"/>
    <w:rsid w:val="00455792"/>
    <w:rsid w:val="00455994"/>
    <w:rsid w:val="00455D7B"/>
    <w:rsid w:val="004629DF"/>
    <w:rsid w:val="00465FE6"/>
    <w:rsid w:val="0047357F"/>
    <w:rsid w:val="00475B8A"/>
    <w:rsid w:val="00483F67"/>
    <w:rsid w:val="00484FBB"/>
    <w:rsid w:val="00486242"/>
    <w:rsid w:val="004912DC"/>
    <w:rsid w:val="00492E26"/>
    <w:rsid w:val="0049567A"/>
    <w:rsid w:val="004A1B90"/>
    <w:rsid w:val="004A610D"/>
    <w:rsid w:val="004A730C"/>
    <w:rsid w:val="004B03F1"/>
    <w:rsid w:val="004B1487"/>
    <w:rsid w:val="004B4EA7"/>
    <w:rsid w:val="004B63B6"/>
    <w:rsid w:val="004B728C"/>
    <w:rsid w:val="004C3631"/>
    <w:rsid w:val="004C6844"/>
    <w:rsid w:val="004C7DB6"/>
    <w:rsid w:val="004D4A5D"/>
    <w:rsid w:val="004D61FD"/>
    <w:rsid w:val="004D77C2"/>
    <w:rsid w:val="004D7987"/>
    <w:rsid w:val="004E5811"/>
    <w:rsid w:val="004E6428"/>
    <w:rsid w:val="004E6EF4"/>
    <w:rsid w:val="004E7041"/>
    <w:rsid w:val="004F0E15"/>
    <w:rsid w:val="004F1196"/>
    <w:rsid w:val="004F1FF4"/>
    <w:rsid w:val="004F453B"/>
    <w:rsid w:val="004F68A4"/>
    <w:rsid w:val="004F730F"/>
    <w:rsid w:val="005006AD"/>
    <w:rsid w:val="0050522C"/>
    <w:rsid w:val="0050600B"/>
    <w:rsid w:val="00510F00"/>
    <w:rsid w:val="00511D04"/>
    <w:rsid w:val="005141FE"/>
    <w:rsid w:val="0051433E"/>
    <w:rsid w:val="005179A8"/>
    <w:rsid w:val="00521698"/>
    <w:rsid w:val="00522AC2"/>
    <w:rsid w:val="00522ED2"/>
    <w:rsid w:val="00524086"/>
    <w:rsid w:val="005264BD"/>
    <w:rsid w:val="00531435"/>
    <w:rsid w:val="00532443"/>
    <w:rsid w:val="00533ADD"/>
    <w:rsid w:val="005350DA"/>
    <w:rsid w:val="00537D92"/>
    <w:rsid w:val="00542756"/>
    <w:rsid w:val="00543391"/>
    <w:rsid w:val="00547972"/>
    <w:rsid w:val="00555A1B"/>
    <w:rsid w:val="00555FCE"/>
    <w:rsid w:val="00560312"/>
    <w:rsid w:val="00562706"/>
    <w:rsid w:val="005663EF"/>
    <w:rsid w:val="00567E5A"/>
    <w:rsid w:val="00573866"/>
    <w:rsid w:val="00573E16"/>
    <w:rsid w:val="0057665C"/>
    <w:rsid w:val="0058411A"/>
    <w:rsid w:val="005852C7"/>
    <w:rsid w:val="00586CE8"/>
    <w:rsid w:val="00586FC9"/>
    <w:rsid w:val="005875A2"/>
    <w:rsid w:val="0058764F"/>
    <w:rsid w:val="00590DA0"/>
    <w:rsid w:val="00590F4B"/>
    <w:rsid w:val="00593C73"/>
    <w:rsid w:val="00593CEA"/>
    <w:rsid w:val="0059460D"/>
    <w:rsid w:val="00596312"/>
    <w:rsid w:val="0059657B"/>
    <w:rsid w:val="00596A84"/>
    <w:rsid w:val="005A03E7"/>
    <w:rsid w:val="005A09B8"/>
    <w:rsid w:val="005A1FD1"/>
    <w:rsid w:val="005A28B7"/>
    <w:rsid w:val="005A29D2"/>
    <w:rsid w:val="005A2C69"/>
    <w:rsid w:val="005B0DD3"/>
    <w:rsid w:val="005B360B"/>
    <w:rsid w:val="005C4365"/>
    <w:rsid w:val="005C56BB"/>
    <w:rsid w:val="005C69D2"/>
    <w:rsid w:val="005C7989"/>
    <w:rsid w:val="005D1C8D"/>
    <w:rsid w:val="005D30D7"/>
    <w:rsid w:val="005D4326"/>
    <w:rsid w:val="005D7257"/>
    <w:rsid w:val="005E098C"/>
    <w:rsid w:val="005E2A96"/>
    <w:rsid w:val="005E333B"/>
    <w:rsid w:val="005E34CD"/>
    <w:rsid w:val="005E34F4"/>
    <w:rsid w:val="005E3CEF"/>
    <w:rsid w:val="005E4A53"/>
    <w:rsid w:val="005E7C0B"/>
    <w:rsid w:val="005F0A93"/>
    <w:rsid w:val="005F4FAA"/>
    <w:rsid w:val="006044D3"/>
    <w:rsid w:val="00604A69"/>
    <w:rsid w:val="00606B1A"/>
    <w:rsid w:val="00606E5E"/>
    <w:rsid w:val="00614FA2"/>
    <w:rsid w:val="00614FD8"/>
    <w:rsid w:val="00615102"/>
    <w:rsid w:val="006166B3"/>
    <w:rsid w:val="00616E7F"/>
    <w:rsid w:val="00617FCB"/>
    <w:rsid w:val="0062024B"/>
    <w:rsid w:val="00622285"/>
    <w:rsid w:val="006303EE"/>
    <w:rsid w:val="006355E5"/>
    <w:rsid w:val="006367F6"/>
    <w:rsid w:val="00643960"/>
    <w:rsid w:val="00643CEB"/>
    <w:rsid w:val="00645EA0"/>
    <w:rsid w:val="006473C9"/>
    <w:rsid w:val="00647C41"/>
    <w:rsid w:val="00653BE2"/>
    <w:rsid w:val="0065551E"/>
    <w:rsid w:val="006555EF"/>
    <w:rsid w:val="0065592A"/>
    <w:rsid w:val="00657563"/>
    <w:rsid w:val="00662783"/>
    <w:rsid w:val="00663A2A"/>
    <w:rsid w:val="00664931"/>
    <w:rsid w:val="00672515"/>
    <w:rsid w:val="00676CB2"/>
    <w:rsid w:val="006770AB"/>
    <w:rsid w:val="00677F76"/>
    <w:rsid w:val="00680A4E"/>
    <w:rsid w:val="006818F1"/>
    <w:rsid w:val="00691007"/>
    <w:rsid w:val="00693EA2"/>
    <w:rsid w:val="0069568A"/>
    <w:rsid w:val="006A2979"/>
    <w:rsid w:val="006B037F"/>
    <w:rsid w:val="006B0AF8"/>
    <w:rsid w:val="006B5E79"/>
    <w:rsid w:val="006C1B09"/>
    <w:rsid w:val="006C54EF"/>
    <w:rsid w:val="006C6135"/>
    <w:rsid w:val="006D346F"/>
    <w:rsid w:val="006D6FC5"/>
    <w:rsid w:val="006D7036"/>
    <w:rsid w:val="006E15A7"/>
    <w:rsid w:val="006E2952"/>
    <w:rsid w:val="006E2A9B"/>
    <w:rsid w:val="006E509A"/>
    <w:rsid w:val="006E6B9F"/>
    <w:rsid w:val="006E77DD"/>
    <w:rsid w:val="006F2989"/>
    <w:rsid w:val="006F5061"/>
    <w:rsid w:val="006F6331"/>
    <w:rsid w:val="006F695C"/>
    <w:rsid w:val="006F7660"/>
    <w:rsid w:val="00703896"/>
    <w:rsid w:val="007102FD"/>
    <w:rsid w:val="00710463"/>
    <w:rsid w:val="007112DA"/>
    <w:rsid w:val="0071203E"/>
    <w:rsid w:val="00712B73"/>
    <w:rsid w:val="00717917"/>
    <w:rsid w:val="00721CD3"/>
    <w:rsid w:val="00721E91"/>
    <w:rsid w:val="0072229C"/>
    <w:rsid w:val="00725587"/>
    <w:rsid w:val="00726265"/>
    <w:rsid w:val="00726829"/>
    <w:rsid w:val="007302FF"/>
    <w:rsid w:val="0073265C"/>
    <w:rsid w:val="007327D4"/>
    <w:rsid w:val="007335C5"/>
    <w:rsid w:val="00744C50"/>
    <w:rsid w:val="00745223"/>
    <w:rsid w:val="0074787A"/>
    <w:rsid w:val="00751CC3"/>
    <w:rsid w:val="00752E9D"/>
    <w:rsid w:val="00755B59"/>
    <w:rsid w:val="00760727"/>
    <w:rsid w:val="0076499D"/>
    <w:rsid w:val="0077178C"/>
    <w:rsid w:val="007736F1"/>
    <w:rsid w:val="0077476F"/>
    <w:rsid w:val="007749E2"/>
    <w:rsid w:val="00775D53"/>
    <w:rsid w:val="007767D0"/>
    <w:rsid w:val="00782E87"/>
    <w:rsid w:val="007839C0"/>
    <w:rsid w:val="007866C8"/>
    <w:rsid w:val="0078745B"/>
    <w:rsid w:val="0078754E"/>
    <w:rsid w:val="00790FCE"/>
    <w:rsid w:val="00791410"/>
    <w:rsid w:val="0079657E"/>
    <w:rsid w:val="007972F8"/>
    <w:rsid w:val="007A2203"/>
    <w:rsid w:val="007A261B"/>
    <w:rsid w:val="007A35F7"/>
    <w:rsid w:val="007A5068"/>
    <w:rsid w:val="007A5584"/>
    <w:rsid w:val="007A7B2E"/>
    <w:rsid w:val="007A7D90"/>
    <w:rsid w:val="007B331D"/>
    <w:rsid w:val="007B6F38"/>
    <w:rsid w:val="007C0BAD"/>
    <w:rsid w:val="007C1B86"/>
    <w:rsid w:val="007C5AEB"/>
    <w:rsid w:val="007C60F4"/>
    <w:rsid w:val="007C7BEF"/>
    <w:rsid w:val="007D0F06"/>
    <w:rsid w:val="007D3D10"/>
    <w:rsid w:val="007E1D90"/>
    <w:rsid w:val="007E1F82"/>
    <w:rsid w:val="007E520F"/>
    <w:rsid w:val="007E627B"/>
    <w:rsid w:val="007E7117"/>
    <w:rsid w:val="007E7F4F"/>
    <w:rsid w:val="007F63F3"/>
    <w:rsid w:val="00800A26"/>
    <w:rsid w:val="00800E92"/>
    <w:rsid w:val="00803047"/>
    <w:rsid w:val="008048C2"/>
    <w:rsid w:val="00811CAC"/>
    <w:rsid w:val="00812BCD"/>
    <w:rsid w:val="00824FAD"/>
    <w:rsid w:val="00831574"/>
    <w:rsid w:val="00836522"/>
    <w:rsid w:val="00843765"/>
    <w:rsid w:val="00843932"/>
    <w:rsid w:val="00846471"/>
    <w:rsid w:val="00847CBE"/>
    <w:rsid w:val="00852057"/>
    <w:rsid w:val="0085258B"/>
    <w:rsid w:val="00861C49"/>
    <w:rsid w:val="00862C7C"/>
    <w:rsid w:val="008638F8"/>
    <w:rsid w:val="00865C5B"/>
    <w:rsid w:val="00865D1F"/>
    <w:rsid w:val="0087043E"/>
    <w:rsid w:val="0087206F"/>
    <w:rsid w:val="00873BF3"/>
    <w:rsid w:val="00874B23"/>
    <w:rsid w:val="008770C7"/>
    <w:rsid w:val="008772DD"/>
    <w:rsid w:val="0088228F"/>
    <w:rsid w:val="00883FC4"/>
    <w:rsid w:val="0088437F"/>
    <w:rsid w:val="0088633C"/>
    <w:rsid w:val="008874D7"/>
    <w:rsid w:val="00887EE5"/>
    <w:rsid w:val="008922EB"/>
    <w:rsid w:val="00895859"/>
    <w:rsid w:val="008A144A"/>
    <w:rsid w:val="008B18C8"/>
    <w:rsid w:val="008B6CE2"/>
    <w:rsid w:val="008C346A"/>
    <w:rsid w:val="008C3EE1"/>
    <w:rsid w:val="008C6923"/>
    <w:rsid w:val="008C7F54"/>
    <w:rsid w:val="008D4545"/>
    <w:rsid w:val="008D4E63"/>
    <w:rsid w:val="008D7193"/>
    <w:rsid w:val="008D7EE0"/>
    <w:rsid w:val="008E093E"/>
    <w:rsid w:val="008E6394"/>
    <w:rsid w:val="008F0BBC"/>
    <w:rsid w:val="008F14F7"/>
    <w:rsid w:val="008F24C9"/>
    <w:rsid w:val="008F2751"/>
    <w:rsid w:val="008F575B"/>
    <w:rsid w:val="00901C87"/>
    <w:rsid w:val="009177D4"/>
    <w:rsid w:val="00924B3D"/>
    <w:rsid w:val="0092704F"/>
    <w:rsid w:val="0093001C"/>
    <w:rsid w:val="0093001F"/>
    <w:rsid w:val="00932A35"/>
    <w:rsid w:val="009337AB"/>
    <w:rsid w:val="00934A1E"/>
    <w:rsid w:val="009422D3"/>
    <w:rsid w:val="00943BFE"/>
    <w:rsid w:val="00944387"/>
    <w:rsid w:val="00944F70"/>
    <w:rsid w:val="009463C5"/>
    <w:rsid w:val="009511C7"/>
    <w:rsid w:val="00955C05"/>
    <w:rsid w:val="00956AE7"/>
    <w:rsid w:val="00960BD3"/>
    <w:rsid w:val="00961785"/>
    <w:rsid w:val="00963DA9"/>
    <w:rsid w:val="0096725A"/>
    <w:rsid w:val="009676CF"/>
    <w:rsid w:val="00967D5C"/>
    <w:rsid w:val="00970072"/>
    <w:rsid w:val="00972D99"/>
    <w:rsid w:val="009748FF"/>
    <w:rsid w:val="00974E33"/>
    <w:rsid w:val="009766F8"/>
    <w:rsid w:val="00987E5D"/>
    <w:rsid w:val="00992F85"/>
    <w:rsid w:val="009A773F"/>
    <w:rsid w:val="009B18F2"/>
    <w:rsid w:val="009B23CD"/>
    <w:rsid w:val="009B36D2"/>
    <w:rsid w:val="009B49F8"/>
    <w:rsid w:val="009B63C8"/>
    <w:rsid w:val="009C1D47"/>
    <w:rsid w:val="009C2413"/>
    <w:rsid w:val="009C3C84"/>
    <w:rsid w:val="009C7A99"/>
    <w:rsid w:val="009D0579"/>
    <w:rsid w:val="009D1E73"/>
    <w:rsid w:val="009D227C"/>
    <w:rsid w:val="009D2367"/>
    <w:rsid w:val="009D554D"/>
    <w:rsid w:val="009D6C2A"/>
    <w:rsid w:val="009D6CB6"/>
    <w:rsid w:val="009E1F0D"/>
    <w:rsid w:val="009E44A6"/>
    <w:rsid w:val="009E6C0C"/>
    <w:rsid w:val="009E7D3F"/>
    <w:rsid w:val="009F0AE0"/>
    <w:rsid w:val="009F0FE4"/>
    <w:rsid w:val="009F3B82"/>
    <w:rsid w:val="009F3BEB"/>
    <w:rsid w:val="009F51B1"/>
    <w:rsid w:val="00A007A9"/>
    <w:rsid w:val="00A01764"/>
    <w:rsid w:val="00A02360"/>
    <w:rsid w:val="00A0531C"/>
    <w:rsid w:val="00A10BA5"/>
    <w:rsid w:val="00A1254B"/>
    <w:rsid w:val="00A12B7B"/>
    <w:rsid w:val="00A14DA3"/>
    <w:rsid w:val="00A16278"/>
    <w:rsid w:val="00A205A2"/>
    <w:rsid w:val="00A21E39"/>
    <w:rsid w:val="00A2359A"/>
    <w:rsid w:val="00A25927"/>
    <w:rsid w:val="00A2740B"/>
    <w:rsid w:val="00A27E52"/>
    <w:rsid w:val="00A302A3"/>
    <w:rsid w:val="00A32C7A"/>
    <w:rsid w:val="00A347E7"/>
    <w:rsid w:val="00A35FDE"/>
    <w:rsid w:val="00A37FD3"/>
    <w:rsid w:val="00A4358A"/>
    <w:rsid w:val="00A4451F"/>
    <w:rsid w:val="00A44C4C"/>
    <w:rsid w:val="00A45934"/>
    <w:rsid w:val="00A45BB5"/>
    <w:rsid w:val="00A46F29"/>
    <w:rsid w:val="00A50552"/>
    <w:rsid w:val="00A51305"/>
    <w:rsid w:val="00A54170"/>
    <w:rsid w:val="00A54965"/>
    <w:rsid w:val="00A55C45"/>
    <w:rsid w:val="00A60A2B"/>
    <w:rsid w:val="00A60EF0"/>
    <w:rsid w:val="00A61D7A"/>
    <w:rsid w:val="00A62D7B"/>
    <w:rsid w:val="00A640C2"/>
    <w:rsid w:val="00A653E7"/>
    <w:rsid w:val="00A65EA7"/>
    <w:rsid w:val="00A664CE"/>
    <w:rsid w:val="00A667B6"/>
    <w:rsid w:val="00A74F12"/>
    <w:rsid w:val="00A810B7"/>
    <w:rsid w:val="00A812DF"/>
    <w:rsid w:val="00A81D57"/>
    <w:rsid w:val="00A83222"/>
    <w:rsid w:val="00A83AA4"/>
    <w:rsid w:val="00A86BC7"/>
    <w:rsid w:val="00A92B20"/>
    <w:rsid w:val="00A9580F"/>
    <w:rsid w:val="00A9637C"/>
    <w:rsid w:val="00A978EC"/>
    <w:rsid w:val="00AA1360"/>
    <w:rsid w:val="00AA4D72"/>
    <w:rsid w:val="00AB07DE"/>
    <w:rsid w:val="00AB30F7"/>
    <w:rsid w:val="00AB33BB"/>
    <w:rsid w:val="00AB3B83"/>
    <w:rsid w:val="00AB6504"/>
    <w:rsid w:val="00AC5414"/>
    <w:rsid w:val="00AD33BF"/>
    <w:rsid w:val="00AD407B"/>
    <w:rsid w:val="00AD4A44"/>
    <w:rsid w:val="00AD4C55"/>
    <w:rsid w:val="00AD4F3F"/>
    <w:rsid w:val="00AD5743"/>
    <w:rsid w:val="00AD5D44"/>
    <w:rsid w:val="00AD6326"/>
    <w:rsid w:val="00AD645E"/>
    <w:rsid w:val="00AD68D3"/>
    <w:rsid w:val="00AE08AC"/>
    <w:rsid w:val="00AE1E7B"/>
    <w:rsid w:val="00AE447A"/>
    <w:rsid w:val="00AE6451"/>
    <w:rsid w:val="00AE718B"/>
    <w:rsid w:val="00B00606"/>
    <w:rsid w:val="00B02384"/>
    <w:rsid w:val="00B04625"/>
    <w:rsid w:val="00B10493"/>
    <w:rsid w:val="00B10657"/>
    <w:rsid w:val="00B106A4"/>
    <w:rsid w:val="00B10FCE"/>
    <w:rsid w:val="00B1207C"/>
    <w:rsid w:val="00B15073"/>
    <w:rsid w:val="00B15F94"/>
    <w:rsid w:val="00B16A54"/>
    <w:rsid w:val="00B2103B"/>
    <w:rsid w:val="00B24DED"/>
    <w:rsid w:val="00B27C6F"/>
    <w:rsid w:val="00B35F71"/>
    <w:rsid w:val="00B41865"/>
    <w:rsid w:val="00B41A37"/>
    <w:rsid w:val="00B41C10"/>
    <w:rsid w:val="00B436C2"/>
    <w:rsid w:val="00B4495B"/>
    <w:rsid w:val="00B47F9B"/>
    <w:rsid w:val="00B5195B"/>
    <w:rsid w:val="00B5287C"/>
    <w:rsid w:val="00B52A6B"/>
    <w:rsid w:val="00B531D9"/>
    <w:rsid w:val="00B53AD2"/>
    <w:rsid w:val="00B53B3B"/>
    <w:rsid w:val="00B53EE5"/>
    <w:rsid w:val="00B569F5"/>
    <w:rsid w:val="00B570B7"/>
    <w:rsid w:val="00B6229F"/>
    <w:rsid w:val="00B6559B"/>
    <w:rsid w:val="00B67449"/>
    <w:rsid w:val="00B67D87"/>
    <w:rsid w:val="00B72D21"/>
    <w:rsid w:val="00B7432E"/>
    <w:rsid w:val="00B8171C"/>
    <w:rsid w:val="00B82270"/>
    <w:rsid w:val="00B83DA0"/>
    <w:rsid w:val="00B86758"/>
    <w:rsid w:val="00B92232"/>
    <w:rsid w:val="00B93579"/>
    <w:rsid w:val="00B95B09"/>
    <w:rsid w:val="00B95F0A"/>
    <w:rsid w:val="00B973BB"/>
    <w:rsid w:val="00BB2364"/>
    <w:rsid w:val="00BB7F4A"/>
    <w:rsid w:val="00BC00CC"/>
    <w:rsid w:val="00BC1D8A"/>
    <w:rsid w:val="00BC4386"/>
    <w:rsid w:val="00BC6E21"/>
    <w:rsid w:val="00BC793B"/>
    <w:rsid w:val="00BD2133"/>
    <w:rsid w:val="00BD26C5"/>
    <w:rsid w:val="00BD2A00"/>
    <w:rsid w:val="00BD4C4E"/>
    <w:rsid w:val="00BD4C5C"/>
    <w:rsid w:val="00BD5670"/>
    <w:rsid w:val="00BD7F41"/>
    <w:rsid w:val="00BE0949"/>
    <w:rsid w:val="00BE3084"/>
    <w:rsid w:val="00BE7267"/>
    <w:rsid w:val="00BF59D5"/>
    <w:rsid w:val="00C000FD"/>
    <w:rsid w:val="00C0486D"/>
    <w:rsid w:val="00C04A89"/>
    <w:rsid w:val="00C07E0E"/>
    <w:rsid w:val="00C109EF"/>
    <w:rsid w:val="00C119EF"/>
    <w:rsid w:val="00C155A8"/>
    <w:rsid w:val="00C3127C"/>
    <w:rsid w:val="00C356D0"/>
    <w:rsid w:val="00C41F8F"/>
    <w:rsid w:val="00C43C66"/>
    <w:rsid w:val="00C44999"/>
    <w:rsid w:val="00C512EB"/>
    <w:rsid w:val="00C55600"/>
    <w:rsid w:val="00C56349"/>
    <w:rsid w:val="00C56B9D"/>
    <w:rsid w:val="00C61C00"/>
    <w:rsid w:val="00C61D23"/>
    <w:rsid w:val="00C6367D"/>
    <w:rsid w:val="00C70F63"/>
    <w:rsid w:val="00C73990"/>
    <w:rsid w:val="00C752CD"/>
    <w:rsid w:val="00C77825"/>
    <w:rsid w:val="00C80967"/>
    <w:rsid w:val="00C9009D"/>
    <w:rsid w:val="00C933BD"/>
    <w:rsid w:val="00C9764D"/>
    <w:rsid w:val="00C97BC7"/>
    <w:rsid w:val="00CA1B4F"/>
    <w:rsid w:val="00CA6210"/>
    <w:rsid w:val="00CA7C27"/>
    <w:rsid w:val="00CB314E"/>
    <w:rsid w:val="00CB61D5"/>
    <w:rsid w:val="00CB63FD"/>
    <w:rsid w:val="00CC462F"/>
    <w:rsid w:val="00CD1A30"/>
    <w:rsid w:val="00CD480D"/>
    <w:rsid w:val="00CD5111"/>
    <w:rsid w:val="00CD5578"/>
    <w:rsid w:val="00CD5670"/>
    <w:rsid w:val="00CD69A2"/>
    <w:rsid w:val="00CE292B"/>
    <w:rsid w:val="00CE3B35"/>
    <w:rsid w:val="00CE6AB0"/>
    <w:rsid w:val="00CF0A8E"/>
    <w:rsid w:val="00CF0E64"/>
    <w:rsid w:val="00CF4855"/>
    <w:rsid w:val="00CF515A"/>
    <w:rsid w:val="00CF5853"/>
    <w:rsid w:val="00D018C1"/>
    <w:rsid w:val="00D049F7"/>
    <w:rsid w:val="00D055E9"/>
    <w:rsid w:val="00D06685"/>
    <w:rsid w:val="00D0718C"/>
    <w:rsid w:val="00D103C6"/>
    <w:rsid w:val="00D21765"/>
    <w:rsid w:val="00D24ECC"/>
    <w:rsid w:val="00D26F8A"/>
    <w:rsid w:val="00D272F9"/>
    <w:rsid w:val="00D2798D"/>
    <w:rsid w:val="00D31ABE"/>
    <w:rsid w:val="00D37605"/>
    <w:rsid w:val="00D37AD7"/>
    <w:rsid w:val="00D503AF"/>
    <w:rsid w:val="00D53976"/>
    <w:rsid w:val="00D5412D"/>
    <w:rsid w:val="00D57E1A"/>
    <w:rsid w:val="00D63A4D"/>
    <w:rsid w:val="00D67EFD"/>
    <w:rsid w:val="00D711AC"/>
    <w:rsid w:val="00D74909"/>
    <w:rsid w:val="00D8021A"/>
    <w:rsid w:val="00D8094A"/>
    <w:rsid w:val="00D8140C"/>
    <w:rsid w:val="00D86C12"/>
    <w:rsid w:val="00D903D7"/>
    <w:rsid w:val="00D905D4"/>
    <w:rsid w:val="00D925A6"/>
    <w:rsid w:val="00D95B71"/>
    <w:rsid w:val="00DA0B26"/>
    <w:rsid w:val="00DA1A0C"/>
    <w:rsid w:val="00DA3FF3"/>
    <w:rsid w:val="00DA4F63"/>
    <w:rsid w:val="00DA50AE"/>
    <w:rsid w:val="00DA605A"/>
    <w:rsid w:val="00DB100C"/>
    <w:rsid w:val="00DB183B"/>
    <w:rsid w:val="00DB1E2E"/>
    <w:rsid w:val="00DB2547"/>
    <w:rsid w:val="00DB41AC"/>
    <w:rsid w:val="00DB4B72"/>
    <w:rsid w:val="00DB5000"/>
    <w:rsid w:val="00DB5428"/>
    <w:rsid w:val="00DC294D"/>
    <w:rsid w:val="00DC556F"/>
    <w:rsid w:val="00DC6931"/>
    <w:rsid w:val="00DC6968"/>
    <w:rsid w:val="00DC6D6A"/>
    <w:rsid w:val="00DD07BA"/>
    <w:rsid w:val="00DD224A"/>
    <w:rsid w:val="00DD25EF"/>
    <w:rsid w:val="00DD5A72"/>
    <w:rsid w:val="00DD5D96"/>
    <w:rsid w:val="00DD7C2E"/>
    <w:rsid w:val="00DE054F"/>
    <w:rsid w:val="00DE21D9"/>
    <w:rsid w:val="00DE3FDC"/>
    <w:rsid w:val="00DE5847"/>
    <w:rsid w:val="00DF19A6"/>
    <w:rsid w:val="00DF340E"/>
    <w:rsid w:val="00DF4070"/>
    <w:rsid w:val="00DF5D68"/>
    <w:rsid w:val="00DF5F54"/>
    <w:rsid w:val="00E00A13"/>
    <w:rsid w:val="00E022DC"/>
    <w:rsid w:val="00E02E49"/>
    <w:rsid w:val="00E05648"/>
    <w:rsid w:val="00E11C8B"/>
    <w:rsid w:val="00E138E4"/>
    <w:rsid w:val="00E1667F"/>
    <w:rsid w:val="00E17DD2"/>
    <w:rsid w:val="00E23111"/>
    <w:rsid w:val="00E2333B"/>
    <w:rsid w:val="00E2392F"/>
    <w:rsid w:val="00E25064"/>
    <w:rsid w:val="00E265ED"/>
    <w:rsid w:val="00E26AB5"/>
    <w:rsid w:val="00E31771"/>
    <w:rsid w:val="00E32469"/>
    <w:rsid w:val="00E41686"/>
    <w:rsid w:val="00E41F1B"/>
    <w:rsid w:val="00E44002"/>
    <w:rsid w:val="00E46464"/>
    <w:rsid w:val="00E50C82"/>
    <w:rsid w:val="00E55BF4"/>
    <w:rsid w:val="00E629DD"/>
    <w:rsid w:val="00E65AD6"/>
    <w:rsid w:val="00E70A9F"/>
    <w:rsid w:val="00E73B69"/>
    <w:rsid w:val="00E7684C"/>
    <w:rsid w:val="00E83B65"/>
    <w:rsid w:val="00E92636"/>
    <w:rsid w:val="00E9327C"/>
    <w:rsid w:val="00E93AF6"/>
    <w:rsid w:val="00E95E9B"/>
    <w:rsid w:val="00EB0516"/>
    <w:rsid w:val="00EB255B"/>
    <w:rsid w:val="00EB5A4B"/>
    <w:rsid w:val="00EB5D95"/>
    <w:rsid w:val="00EB670F"/>
    <w:rsid w:val="00EB7B04"/>
    <w:rsid w:val="00EC18C5"/>
    <w:rsid w:val="00EC377F"/>
    <w:rsid w:val="00EC38A3"/>
    <w:rsid w:val="00EC523D"/>
    <w:rsid w:val="00EC70FB"/>
    <w:rsid w:val="00EC7862"/>
    <w:rsid w:val="00ED1A51"/>
    <w:rsid w:val="00ED31A5"/>
    <w:rsid w:val="00ED3631"/>
    <w:rsid w:val="00ED7606"/>
    <w:rsid w:val="00EE132D"/>
    <w:rsid w:val="00EE1676"/>
    <w:rsid w:val="00EE377A"/>
    <w:rsid w:val="00EE4748"/>
    <w:rsid w:val="00EE5A3A"/>
    <w:rsid w:val="00EE5FC7"/>
    <w:rsid w:val="00EF12E0"/>
    <w:rsid w:val="00EF1DE2"/>
    <w:rsid w:val="00EF25CB"/>
    <w:rsid w:val="00EF3518"/>
    <w:rsid w:val="00F01A55"/>
    <w:rsid w:val="00F023BC"/>
    <w:rsid w:val="00F03E30"/>
    <w:rsid w:val="00F155F6"/>
    <w:rsid w:val="00F17CA5"/>
    <w:rsid w:val="00F2086C"/>
    <w:rsid w:val="00F21363"/>
    <w:rsid w:val="00F21AAD"/>
    <w:rsid w:val="00F23AE4"/>
    <w:rsid w:val="00F2407C"/>
    <w:rsid w:val="00F24D23"/>
    <w:rsid w:val="00F2742B"/>
    <w:rsid w:val="00F27E0E"/>
    <w:rsid w:val="00F30233"/>
    <w:rsid w:val="00F3028E"/>
    <w:rsid w:val="00F306CD"/>
    <w:rsid w:val="00F34C97"/>
    <w:rsid w:val="00F35FB9"/>
    <w:rsid w:val="00F4144F"/>
    <w:rsid w:val="00F41A72"/>
    <w:rsid w:val="00F431D9"/>
    <w:rsid w:val="00F44841"/>
    <w:rsid w:val="00F44C62"/>
    <w:rsid w:val="00F5095B"/>
    <w:rsid w:val="00F521CD"/>
    <w:rsid w:val="00F54600"/>
    <w:rsid w:val="00F549A2"/>
    <w:rsid w:val="00F54B43"/>
    <w:rsid w:val="00F56376"/>
    <w:rsid w:val="00F56620"/>
    <w:rsid w:val="00F5786F"/>
    <w:rsid w:val="00F57959"/>
    <w:rsid w:val="00F602DC"/>
    <w:rsid w:val="00F61F61"/>
    <w:rsid w:val="00F71A9A"/>
    <w:rsid w:val="00F7307B"/>
    <w:rsid w:val="00F74085"/>
    <w:rsid w:val="00F750EA"/>
    <w:rsid w:val="00F75149"/>
    <w:rsid w:val="00F76A30"/>
    <w:rsid w:val="00F81413"/>
    <w:rsid w:val="00F83F26"/>
    <w:rsid w:val="00F85DC6"/>
    <w:rsid w:val="00F86189"/>
    <w:rsid w:val="00F91296"/>
    <w:rsid w:val="00F93B11"/>
    <w:rsid w:val="00F93D46"/>
    <w:rsid w:val="00FA0EB2"/>
    <w:rsid w:val="00FA42F8"/>
    <w:rsid w:val="00FA7121"/>
    <w:rsid w:val="00FA7ECD"/>
    <w:rsid w:val="00FB15BE"/>
    <w:rsid w:val="00FB27B2"/>
    <w:rsid w:val="00FB3F02"/>
    <w:rsid w:val="00FD3461"/>
    <w:rsid w:val="00FD3FCD"/>
    <w:rsid w:val="00FD6B19"/>
    <w:rsid w:val="00FE040E"/>
    <w:rsid w:val="00FE12B7"/>
    <w:rsid w:val="00FE14C7"/>
    <w:rsid w:val="00FE3760"/>
    <w:rsid w:val="00FE389D"/>
    <w:rsid w:val="00FE59BA"/>
    <w:rsid w:val="00FE5B91"/>
    <w:rsid w:val="00FF1C87"/>
    <w:rsid w:val="00FF4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B4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41E"/>
    <w:pPr>
      <w:spacing w:after="0" w:line="240" w:lineRule="auto"/>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uiPriority w:val="1"/>
    <w:qFormat/>
    <w:rsid w:val="006B0AF8"/>
    <w:pPr>
      <w:spacing w:after="160" w:line="259" w:lineRule="auto"/>
    </w:pPr>
    <w:rPr>
      <w:rFonts w:ascii="Arial" w:eastAsiaTheme="minorHAnsi" w:hAnsi="Arial" w:cs="Arial"/>
      <w:sz w:val="20"/>
    </w:rPr>
  </w:style>
  <w:style w:type="paragraph" w:styleId="Textedebulles">
    <w:name w:val="Balloon Text"/>
    <w:basedOn w:val="Normal"/>
    <w:link w:val="TextedebullesCar"/>
    <w:uiPriority w:val="99"/>
    <w:semiHidden/>
    <w:unhideWhenUsed/>
    <w:rsid w:val="0038141E"/>
    <w:rPr>
      <w:rFonts w:ascii="Tahoma" w:hAnsi="Tahoma" w:cs="Tahoma"/>
      <w:sz w:val="16"/>
      <w:szCs w:val="16"/>
    </w:rPr>
  </w:style>
  <w:style w:type="character" w:customStyle="1" w:styleId="TextedebullesCar">
    <w:name w:val="Texte de bulles Car"/>
    <w:basedOn w:val="Policepardfaut"/>
    <w:link w:val="Textedebulles"/>
    <w:uiPriority w:val="99"/>
    <w:semiHidden/>
    <w:rsid w:val="0038141E"/>
    <w:rPr>
      <w:rFonts w:ascii="Tahoma" w:eastAsia="Times New Roman" w:hAnsi="Tahoma" w:cs="Tahoma"/>
      <w:sz w:val="16"/>
      <w:szCs w:val="16"/>
    </w:rPr>
  </w:style>
  <w:style w:type="paragraph" w:styleId="En-tte">
    <w:name w:val="header"/>
    <w:basedOn w:val="Normal"/>
    <w:link w:val="En-tteCar"/>
    <w:uiPriority w:val="99"/>
    <w:unhideWhenUsed/>
    <w:rsid w:val="0038141E"/>
    <w:pPr>
      <w:tabs>
        <w:tab w:val="center" w:pos="4680"/>
        <w:tab w:val="right" w:pos="9360"/>
      </w:tabs>
    </w:pPr>
  </w:style>
  <w:style w:type="character" w:customStyle="1" w:styleId="En-tteCar">
    <w:name w:val="En-tête Car"/>
    <w:basedOn w:val="Policepardfaut"/>
    <w:link w:val="En-tte"/>
    <w:uiPriority w:val="99"/>
    <w:rsid w:val="0038141E"/>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38141E"/>
    <w:pPr>
      <w:tabs>
        <w:tab w:val="center" w:pos="4680"/>
        <w:tab w:val="right" w:pos="9360"/>
      </w:tabs>
    </w:pPr>
  </w:style>
  <w:style w:type="character" w:customStyle="1" w:styleId="PieddepageCar">
    <w:name w:val="Pied de page Car"/>
    <w:basedOn w:val="Policepardfaut"/>
    <w:link w:val="Pieddepage"/>
    <w:uiPriority w:val="99"/>
    <w:rsid w:val="0038141E"/>
    <w:rPr>
      <w:rFonts w:ascii="Times New Roman" w:eastAsia="Times New Roman" w:hAnsi="Times New Roman" w:cs="Times New Roman"/>
      <w:sz w:val="24"/>
      <w:szCs w:val="20"/>
    </w:rPr>
  </w:style>
  <w:style w:type="table" w:styleId="Grille">
    <w:name w:val="Table Grid"/>
    <w:basedOn w:val="TableauNormal"/>
    <w:uiPriority w:val="39"/>
    <w:rsid w:val="008E0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A29B5"/>
    <w:pPr>
      <w:ind w:left="720"/>
      <w:contextualSpacing/>
    </w:pPr>
  </w:style>
  <w:style w:type="character" w:styleId="Lienhypertexte">
    <w:name w:val="Hyperlink"/>
    <w:basedOn w:val="Policepardfaut"/>
    <w:uiPriority w:val="99"/>
    <w:unhideWhenUsed/>
    <w:rsid w:val="00C0486D"/>
    <w:rPr>
      <w:color w:val="0563C1" w:themeColor="hyperlink"/>
      <w:u w:val="single"/>
    </w:rPr>
  </w:style>
  <w:style w:type="character" w:styleId="Lienhypertextesuivi">
    <w:name w:val="FollowedHyperlink"/>
    <w:basedOn w:val="Policepardfaut"/>
    <w:uiPriority w:val="99"/>
    <w:semiHidden/>
    <w:unhideWhenUsed/>
    <w:rsid w:val="00C0486D"/>
    <w:rPr>
      <w:color w:val="954F72" w:themeColor="followedHyperlink"/>
      <w:u w:val="single"/>
    </w:rPr>
  </w:style>
  <w:style w:type="paragraph" w:styleId="Bibliographie">
    <w:name w:val="Bibliography"/>
    <w:basedOn w:val="Normal"/>
    <w:next w:val="Normal"/>
    <w:uiPriority w:val="37"/>
    <w:unhideWhenUsed/>
    <w:rsid w:val="00BD2133"/>
  </w:style>
  <w:style w:type="character" w:customStyle="1" w:styleId="icon3">
    <w:name w:val="icon3"/>
    <w:basedOn w:val="Policepardfaut"/>
    <w:rsid w:val="004B1487"/>
    <w:rPr>
      <w:vanish w:val="0"/>
      <w:webHidden w:val="0"/>
      <w:shd w:val="clear" w:color="auto" w:fill="FFFFFF"/>
      <w:specVanish w:val="0"/>
    </w:rPr>
  </w:style>
  <w:style w:type="character" w:customStyle="1" w:styleId="mw-headline">
    <w:name w:val="mw-headline"/>
    <w:basedOn w:val="Policepardfaut"/>
    <w:rsid w:val="004B1487"/>
  </w:style>
  <w:style w:type="paragraph" w:customStyle="1" w:styleId="Default">
    <w:name w:val="Default"/>
    <w:rsid w:val="007972F8"/>
    <w:pPr>
      <w:widowControl w:val="0"/>
      <w:autoSpaceDE w:val="0"/>
      <w:autoSpaceDN w:val="0"/>
      <w:adjustRightInd w:val="0"/>
      <w:spacing w:after="0" w:line="240" w:lineRule="auto"/>
    </w:pPr>
    <w:rPr>
      <w:rFonts w:ascii="Arial" w:hAnsi="Arial" w:cs="Arial"/>
      <w:color w:val="000000"/>
      <w:sz w:val="24"/>
      <w:szCs w:val="24"/>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41E"/>
    <w:pPr>
      <w:spacing w:after="0" w:line="240" w:lineRule="auto"/>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uiPriority w:val="1"/>
    <w:qFormat/>
    <w:rsid w:val="006B0AF8"/>
    <w:pPr>
      <w:spacing w:after="160" w:line="259" w:lineRule="auto"/>
    </w:pPr>
    <w:rPr>
      <w:rFonts w:ascii="Arial" w:eastAsiaTheme="minorHAnsi" w:hAnsi="Arial" w:cs="Arial"/>
      <w:sz w:val="20"/>
    </w:rPr>
  </w:style>
  <w:style w:type="paragraph" w:styleId="Textedebulles">
    <w:name w:val="Balloon Text"/>
    <w:basedOn w:val="Normal"/>
    <w:link w:val="TextedebullesCar"/>
    <w:uiPriority w:val="99"/>
    <w:semiHidden/>
    <w:unhideWhenUsed/>
    <w:rsid w:val="0038141E"/>
    <w:rPr>
      <w:rFonts w:ascii="Tahoma" w:hAnsi="Tahoma" w:cs="Tahoma"/>
      <w:sz w:val="16"/>
      <w:szCs w:val="16"/>
    </w:rPr>
  </w:style>
  <w:style w:type="character" w:customStyle="1" w:styleId="TextedebullesCar">
    <w:name w:val="Texte de bulles Car"/>
    <w:basedOn w:val="Policepardfaut"/>
    <w:link w:val="Textedebulles"/>
    <w:uiPriority w:val="99"/>
    <w:semiHidden/>
    <w:rsid w:val="0038141E"/>
    <w:rPr>
      <w:rFonts w:ascii="Tahoma" w:eastAsia="Times New Roman" w:hAnsi="Tahoma" w:cs="Tahoma"/>
      <w:sz w:val="16"/>
      <w:szCs w:val="16"/>
    </w:rPr>
  </w:style>
  <w:style w:type="paragraph" w:styleId="En-tte">
    <w:name w:val="header"/>
    <w:basedOn w:val="Normal"/>
    <w:link w:val="En-tteCar"/>
    <w:uiPriority w:val="99"/>
    <w:unhideWhenUsed/>
    <w:rsid w:val="0038141E"/>
    <w:pPr>
      <w:tabs>
        <w:tab w:val="center" w:pos="4680"/>
        <w:tab w:val="right" w:pos="9360"/>
      </w:tabs>
    </w:pPr>
  </w:style>
  <w:style w:type="character" w:customStyle="1" w:styleId="En-tteCar">
    <w:name w:val="En-tête Car"/>
    <w:basedOn w:val="Policepardfaut"/>
    <w:link w:val="En-tte"/>
    <w:uiPriority w:val="99"/>
    <w:rsid w:val="0038141E"/>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38141E"/>
    <w:pPr>
      <w:tabs>
        <w:tab w:val="center" w:pos="4680"/>
        <w:tab w:val="right" w:pos="9360"/>
      </w:tabs>
    </w:pPr>
  </w:style>
  <w:style w:type="character" w:customStyle="1" w:styleId="PieddepageCar">
    <w:name w:val="Pied de page Car"/>
    <w:basedOn w:val="Policepardfaut"/>
    <w:link w:val="Pieddepage"/>
    <w:uiPriority w:val="99"/>
    <w:rsid w:val="0038141E"/>
    <w:rPr>
      <w:rFonts w:ascii="Times New Roman" w:eastAsia="Times New Roman" w:hAnsi="Times New Roman" w:cs="Times New Roman"/>
      <w:sz w:val="24"/>
      <w:szCs w:val="20"/>
    </w:rPr>
  </w:style>
  <w:style w:type="table" w:styleId="Grille">
    <w:name w:val="Table Grid"/>
    <w:basedOn w:val="TableauNormal"/>
    <w:uiPriority w:val="39"/>
    <w:rsid w:val="008E0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A29B5"/>
    <w:pPr>
      <w:ind w:left="720"/>
      <w:contextualSpacing/>
    </w:pPr>
  </w:style>
  <w:style w:type="character" w:styleId="Lienhypertexte">
    <w:name w:val="Hyperlink"/>
    <w:basedOn w:val="Policepardfaut"/>
    <w:uiPriority w:val="99"/>
    <w:unhideWhenUsed/>
    <w:rsid w:val="00C0486D"/>
    <w:rPr>
      <w:color w:val="0563C1" w:themeColor="hyperlink"/>
      <w:u w:val="single"/>
    </w:rPr>
  </w:style>
  <w:style w:type="character" w:styleId="Lienhypertextesuivi">
    <w:name w:val="FollowedHyperlink"/>
    <w:basedOn w:val="Policepardfaut"/>
    <w:uiPriority w:val="99"/>
    <w:semiHidden/>
    <w:unhideWhenUsed/>
    <w:rsid w:val="00C0486D"/>
    <w:rPr>
      <w:color w:val="954F72" w:themeColor="followedHyperlink"/>
      <w:u w:val="single"/>
    </w:rPr>
  </w:style>
  <w:style w:type="paragraph" w:styleId="Bibliographie">
    <w:name w:val="Bibliography"/>
    <w:basedOn w:val="Normal"/>
    <w:next w:val="Normal"/>
    <w:uiPriority w:val="37"/>
    <w:unhideWhenUsed/>
    <w:rsid w:val="00BD2133"/>
  </w:style>
  <w:style w:type="character" w:customStyle="1" w:styleId="icon3">
    <w:name w:val="icon3"/>
    <w:basedOn w:val="Policepardfaut"/>
    <w:rsid w:val="004B1487"/>
    <w:rPr>
      <w:vanish w:val="0"/>
      <w:webHidden w:val="0"/>
      <w:shd w:val="clear" w:color="auto" w:fill="FFFFFF"/>
      <w:specVanish w:val="0"/>
    </w:rPr>
  </w:style>
  <w:style w:type="character" w:customStyle="1" w:styleId="mw-headline">
    <w:name w:val="mw-headline"/>
    <w:basedOn w:val="Policepardfaut"/>
    <w:rsid w:val="004B1487"/>
  </w:style>
  <w:style w:type="paragraph" w:customStyle="1" w:styleId="Default">
    <w:name w:val="Default"/>
    <w:rsid w:val="007972F8"/>
    <w:pPr>
      <w:widowControl w:val="0"/>
      <w:autoSpaceDE w:val="0"/>
      <w:autoSpaceDN w:val="0"/>
      <w:adjustRightInd w:val="0"/>
      <w:spacing w:after="0" w:line="240" w:lineRule="auto"/>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0CEF0442DD4CA5BA1D71D0DF4F6D5D"/>
        <w:category>
          <w:name w:val="General"/>
          <w:gallery w:val="placeholder"/>
        </w:category>
        <w:types>
          <w:type w:val="bbPlcHdr"/>
        </w:types>
        <w:behaviors>
          <w:behavior w:val="content"/>
        </w:behaviors>
        <w:guid w:val="{7009ECA9-FF29-45B4-ACA4-F9B5A703D2D6}"/>
      </w:docPartPr>
      <w:docPartBody>
        <w:p w:rsidR="00DF54E7" w:rsidRDefault="002D23C1" w:rsidP="002D23C1">
          <w:pPr>
            <w:pStyle w:val="430CEF0442DD4CA5BA1D71D0DF4F6D5D"/>
          </w:pPr>
          <w:r>
            <w:rPr>
              <w:rFonts w:asciiTheme="majorHAnsi" w:eastAsiaTheme="majorEastAsia" w:hAnsiTheme="majorHAnsi" w:cstheme="majorBidi"/>
              <w:sz w:val="36"/>
              <w:szCs w:val="36"/>
            </w:rPr>
            <w:t>[Type the document title]</w:t>
          </w:r>
        </w:p>
      </w:docPartBody>
    </w:docPart>
    <w:docPart>
      <w:docPartPr>
        <w:name w:val="65BFFF6827354F95BB735159C750EEDB"/>
        <w:category>
          <w:name w:val="General"/>
          <w:gallery w:val="placeholder"/>
        </w:category>
        <w:types>
          <w:type w:val="bbPlcHdr"/>
        </w:types>
        <w:behaviors>
          <w:behavior w:val="content"/>
        </w:behaviors>
        <w:guid w:val="{2BDCC8C9-B0F7-4367-982E-1C9DA6468514}"/>
      </w:docPartPr>
      <w:docPartBody>
        <w:p w:rsidR="00DF54E7" w:rsidRDefault="002D23C1" w:rsidP="002D23C1">
          <w:pPr>
            <w:pStyle w:val="65BFFF6827354F95BB735159C750EEDB"/>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8000012" w:usb3="00000000" w:csb0="0002009F" w:csb1="00000000"/>
  </w:font>
  <w:font w:name="ＭＳ Ｐゴシック">
    <w:charset w:val="4E"/>
    <w:family w:val="auto"/>
    <w:pitch w:val="variable"/>
    <w:sig w:usb0="E00002FF" w:usb1="6AC7FDFB" w:usb2="00000012" w:usb3="00000000" w:csb0="0002009F" w:csb1="00000000"/>
  </w:font>
  <w:font w:name="AvantGarde Bk BT">
    <w:altName w:val="Century Gothic"/>
    <w:charset w:val="00"/>
    <w:family w:val="swiss"/>
    <w:pitch w:val="variable"/>
    <w:sig w:usb0="00000087" w:usb1="00000000" w:usb2="00000000" w:usb3="00000000" w:csb0="0000001B"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2D23C1"/>
    <w:rsid w:val="00021A50"/>
    <w:rsid w:val="000C7B49"/>
    <w:rsid w:val="000E56AA"/>
    <w:rsid w:val="001507AE"/>
    <w:rsid w:val="001558BA"/>
    <w:rsid w:val="001650B3"/>
    <w:rsid w:val="00174247"/>
    <w:rsid w:val="00200627"/>
    <w:rsid w:val="00267F89"/>
    <w:rsid w:val="002B0229"/>
    <w:rsid w:val="002C4C91"/>
    <w:rsid w:val="002D23C1"/>
    <w:rsid w:val="00333423"/>
    <w:rsid w:val="0038004B"/>
    <w:rsid w:val="00382FD6"/>
    <w:rsid w:val="0038401C"/>
    <w:rsid w:val="00460E9D"/>
    <w:rsid w:val="00475CD9"/>
    <w:rsid w:val="005F4754"/>
    <w:rsid w:val="00606F18"/>
    <w:rsid w:val="006948BF"/>
    <w:rsid w:val="00733EB2"/>
    <w:rsid w:val="007A6EEE"/>
    <w:rsid w:val="007F14D5"/>
    <w:rsid w:val="008F06E0"/>
    <w:rsid w:val="009106F6"/>
    <w:rsid w:val="00911FA5"/>
    <w:rsid w:val="00997893"/>
    <w:rsid w:val="009B39A3"/>
    <w:rsid w:val="00A47CAD"/>
    <w:rsid w:val="00AF57A2"/>
    <w:rsid w:val="00B769F1"/>
    <w:rsid w:val="00C04EEF"/>
    <w:rsid w:val="00CF54A8"/>
    <w:rsid w:val="00D02C4D"/>
    <w:rsid w:val="00D934D6"/>
    <w:rsid w:val="00DF54E7"/>
    <w:rsid w:val="00E538DB"/>
    <w:rsid w:val="00EC0FF3"/>
    <w:rsid w:val="00FD056A"/>
    <w:rsid w:val="00FD1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30CEF0442DD4CA5BA1D71D0DF4F6D5D">
    <w:name w:val="430CEF0442DD4CA5BA1D71D0DF4F6D5D"/>
    <w:rsid w:val="002D23C1"/>
  </w:style>
  <w:style w:type="paragraph" w:customStyle="1" w:styleId="65BFFF6827354F95BB735159C750EEDB">
    <w:name w:val="65BFFF6827354F95BB735159C750EEDB"/>
    <w:rsid w:val="002D23C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20X</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26A65D-8055-9A4B-8B40-97F1EA67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725</Words>
  <Characters>4420</Characters>
  <Application>Microsoft Macintosh Word</Application>
  <DocSecurity>0</DocSecurity>
  <Lines>101</Lines>
  <Paragraphs>33</Paragraphs>
  <ScaleCrop>false</ScaleCrop>
  <HeadingPairs>
    <vt:vector size="2" baseType="variant">
      <vt:variant>
        <vt:lpstr>Titre</vt:lpstr>
      </vt:variant>
      <vt:variant>
        <vt:i4>1</vt:i4>
      </vt:variant>
    </vt:vector>
  </HeadingPairs>
  <TitlesOfParts>
    <vt:vector size="1" baseType="lpstr">
      <vt:lpstr>PROPOSAL APPLICATION FORM</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APPLICATION FORM</dc:title>
  <dc:creator>Cynthia</dc:creator>
  <cp:keywords>Grant Proposal Form</cp:keywords>
  <cp:lastModifiedBy>Bahaa Nasr</cp:lastModifiedBy>
  <cp:revision>16</cp:revision>
  <cp:lastPrinted>2021-10-02T16:12:00Z</cp:lastPrinted>
  <dcterms:created xsi:type="dcterms:W3CDTF">2021-12-29T19:57:00Z</dcterms:created>
  <dcterms:modified xsi:type="dcterms:W3CDTF">2025-03-09T19:06:00Z</dcterms:modified>
</cp:coreProperties>
</file>